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24E30" w14:textId="77777777" w:rsidR="00C829BD" w:rsidRDefault="00C829BD" w:rsidP="00C829BD">
      <w:pPr>
        <w:rPr>
          <w:vertAlign w:val="subscript"/>
        </w:rPr>
      </w:pPr>
    </w:p>
    <w:p w14:paraId="4CBE54EA" w14:textId="77777777" w:rsidR="00C829BD" w:rsidRDefault="00C90373" w:rsidP="00CE2F8B">
      <w:pPr>
        <w:tabs>
          <w:tab w:val="left" w:pos="7810"/>
          <w:tab w:val="right" w:pos="9026"/>
        </w:tabs>
        <w:rPr>
          <w:vertAlign w:val="subscript"/>
        </w:rPr>
      </w:pPr>
      <w:r>
        <w:rPr>
          <w:vertAlign w:val="subscript"/>
        </w:rPr>
        <w:tab/>
      </w:r>
      <w:r w:rsidR="00CE2F8B">
        <w:rPr>
          <w:vertAlign w:val="subscript"/>
        </w:rPr>
        <w:tab/>
      </w:r>
    </w:p>
    <w:p w14:paraId="3CCC67CE" w14:textId="3DB57656" w:rsidR="00C829BD" w:rsidRDefault="00C90373" w:rsidP="00C90373">
      <w:pPr>
        <w:tabs>
          <w:tab w:val="left" w:pos="3392"/>
        </w:tabs>
        <w:rPr>
          <w:vertAlign w:val="subscript"/>
        </w:rPr>
      </w:pPr>
      <w:r>
        <w:rPr>
          <w:vertAlign w:val="subscript"/>
        </w:rPr>
        <w:tab/>
      </w:r>
    </w:p>
    <w:p w14:paraId="08B718AA" w14:textId="75899B14" w:rsidR="00C829BD" w:rsidRDefault="0002390D" w:rsidP="00C829BD">
      <w:pPr>
        <w:rPr>
          <w:vertAlign w:val="subscript"/>
        </w:rPr>
      </w:pPr>
      <w:r>
        <w:rPr>
          <w:noProof/>
        </w:rPr>
        <mc:AlternateContent>
          <mc:Choice Requires="wps">
            <w:drawing>
              <wp:anchor distT="0" distB="0" distL="114300" distR="114300" simplePos="0" relativeHeight="251660288" behindDoc="0" locked="0" layoutInCell="1" allowOverlap="1" wp14:anchorId="01275C51" wp14:editId="5E515C6E">
                <wp:simplePos x="0" y="0"/>
                <wp:positionH relativeFrom="column">
                  <wp:posOffset>-215900</wp:posOffset>
                </wp:positionH>
                <wp:positionV relativeFrom="paragraph">
                  <wp:posOffset>55245</wp:posOffset>
                </wp:positionV>
                <wp:extent cx="6405245" cy="1181100"/>
                <wp:effectExtent l="0" t="0" r="1460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5245" cy="1181100"/>
                        </a:xfrm>
                        <a:prstGeom prst="roundRect">
                          <a:avLst>
                            <a:gd name="adj" fmla="val 16667"/>
                          </a:avLst>
                        </a:prstGeom>
                        <a:solidFill>
                          <a:schemeClr val="bg1">
                            <a:lumMod val="100000"/>
                            <a:lumOff val="0"/>
                          </a:schemeClr>
                        </a:solidFill>
                        <a:ln w="12700">
                          <a:solidFill>
                            <a:schemeClr val="accent1">
                              <a:lumMod val="100000"/>
                              <a:lumOff val="0"/>
                            </a:schemeClr>
                          </a:solidFill>
                          <a:round/>
                          <a:headEnd/>
                          <a:tailEnd/>
                        </a:ln>
                      </wps:spPr>
                      <wps:txbx>
                        <w:txbxContent>
                          <w:p w14:paraId="1E577FA9" w14:textId="539E5A17" w:rsidR="00F17E95" w:rsidRPr="0002390D" w:rsidRDefault="006558DB" w:rsidP="0002390D">
                            <w:pPr>
                              <w:spacing w:after="120" w:line="240" w:lineRule="auto"/>
                              <w:jc w:val="center"/>
                              <w:rPr>
                                <w:rFonts w:ascii="Arial" w:hAnsi="Arial" w:cs="Arial"/>
                                <w:b/>
                                <w:color w:val="4F81BD" w:themeColor="accent1"/>
                                <w:sz w:val="24"/>
                                <w:szCs w:val="24"/>
                              </w:rPr>
                            </w:pPr>
                            <w:r w:rsidRPr="0002390D">
                              <w:rPr>
                                <w:rFonts w:ascii="Arial" w:hAnsi="Arial" w:cs="Arial"/>
                                <w:b/>
                                <w:color w:val="4F81BD" w:themeColor="accent1"/>
                                <w:sz w:val="24"/>
                                <w:szCs w:val="24"/>
                              </w:rPr>
                              <w:t xml:space="preserve">Guidance produced by </w:t>
                            </w:r>
                            <w:r w:rsidR="0002390D" w:rsidRPr="0002390D">
                              <w:rPr>
                                <w:rFonts w:ascii="Arial" w:hAnsi="Arial" w:cs="Arial"/>
                                <w:b/>
                                <w:color w:val="4F81BD" w:themeColor="accent1"/>
                                <w:sz w:val="24"/>
                                <w:szCs w:val="24"/>
                              </w:rPr>
                              <w:t>T</w:t>
                            </w:r>
                            <w:r w:rsidRPr="0002390D">
                              <w:rPr>
                                <w:rFonts w:ascii="Arial" w:hAnsi="Arial" w:cs="Arial"/>
                                <w:b/>
                                <w:color w:val="4F81BD" w:themeColor="accent1"/>
                                <w:sz w:val="24"/>
                                <w:szCs w:val="24"/>
                              </w:rPr>
                              <w:t>he Joint Taxation Co</w:t>
                            </w:r>
                            <w:r w:rsidR="000D3182">
                              <w:rPr>
                                <w:rFonts w:ascii="Arial" w:hAnsi="Arial" w:cs="Arial"/>
                                <w:b/>
                                <w:color w:val="4F81BD" w:themeColor="accent1"/>
                                <w:sz w:val="24"/>
                                <w:szCs w:val="24"/>
                              </w:rPr>
                              <w:t>mmittee</w:t>
                            </w:r>
                            <w:bookmarkStart w:id="0" w:name="_GoBack"/>
                            <w:bookmarkEnd w:id="0"/>
                            <w:r w:rsidRPr="0002390D">
                              <w:rPr>
                                <w:rFonts w:ascii="Arial" w:hAnsi="Arial" w:cs="Arial"/>
                                <w:b/>
                                <w:color w:val="4F81BD" w:themeColor="accent1"/>
                                <w:sz w:val="24"/>
                                <w:szCs w:val="24"/>
                              </w:rPr>
                              <w:t xml:space="preserve"> and adapted for use by ECA</w:t>
                            </w:r>
                          </w:p>
                          <w:p w14:paraId="1DC93FFA" w14:textId="3B0F464D" w:rsidR="004E3A06" w:rsidRDefault="0002390D" w:rsidP="003441AB">
                            <w:pPr>
                              <w:spacing w:after="120" w:line="240" w:lineRule="auto"/>
                              <w:jc w:val="both"/>
                              <w:rPr>
                                <w:rFonts w:ascii="Arial" w:hAnsi="Arial" w:cs="Arial"/>
                                <w:b/>
                                <w:sz w:val="20"/>
                              </w:rPr>
                            </w:pPr>
                            <w:r>
                              <w:rPr>
                                <w:rFonts w:ascii="Arial" w:hAnsi="Arial" w:cs="Arial"/>
                                <w:sz w:val="20"/>
                              </w:rPr>
                              <w:t>Domestic</w:t>
                            </w:r>
                            <w:r w:rsidR="006558DB">
                              <w:rPr>
                                <w:rFonts w:ascii="Arial" w:hAnsi="Arial" w:cs="Arial"/>
                                <w:sz w:val="20"/>
                              </w:rPr>
                              <w:t xml:space="preserve"> VAT Reverse Charge system coming into force on </w:t>
                            </w:r>
                            <w:r w:rsidR="006558DB" w:rsidRPr="006558DB">
                              <w:rPr>
                                <w:rFonts w:ascii="Arial" w:hAnsi="Arial" w:cs="Arial"/>
                                <w:b/>
                                <w:sz w:val="20"/>
                              </w:rPr>
                              <w:t>1</w:t>
                            </w:r>
                            <w:r w:rsidR="006558DB" w:rsidRPr="006558DB">
                              <w:rPr>
                                <w:rFonts w:ascii="Arial" w:hAnsi="Arial" w:cs="Arial"/>
                                <w:b/>
                                <w:sz w:val="20"/>
                                <w:vertAlign w:val="superscript"/>
                              </w:rPr>
                              <w:t>st</w:t>
                            </w:r>
                            <w:r w:rsidR="006558DB" w:rsidRPr="006558DB">
                              <w:rPr>
                                <w:rFonts w:ascii="Arial" w:hAnsi="Arial" w:cs="Arial"/>
                                <w:b/>
                                <w:sz w:val="20"/>
                              </w:rPr>
                              <w:t xml:space="preserve"> </w:t>
                            </w:r>
                            <w:r w:rsidR="00A27100">
                              <w:rPr>
                                <w:rFonts w:ascii="Arial" w:hAnsi="Arial" w:cs="Arial"/>
                                <w:b/>
                                <w:sz w:val="20"/>
                              </w:rPr>
                              <w:t>March</w:t>
                            </w:r>
                            <w:r w:rsidR="006558DB" w:rsidRPr="006558DB">
                              <w:rPr>
                                <w:rFonts w:ascii="Arial" w:hAnsi="Arial" w:cs="Arial"/>
                                <w:b/>
                                <w:sz w:val="20"/>
                              </w:rPr>
                              <w:t xml:space="preserve"> 202</w:t>
                            </w:r>
                            <w:r w:rsidR="00A27100">
                              <w:rPr>
                                <w:rFonts w:ascii="Arial" w:hAnsi="Arial" w:cs="Arial"/>
                                <w:b/>
                                <w:sz w:val="20"/>
                              </w:rPr>
                              <w:t>1</w:t>
                            </w:r>
                          </w:p>
                          <w:p w14:paraId="5408D183" w14:textId="77777777" w:rsidR="0002390D" w:rsidRDefault="0002390D" w:rsidP="003441AB">
                            <w:pPr>
                              <w:spacing w:after="120" w:line="240" w:lineRule="auto"/>
                              <w:jc w:val="both"/>
                              <w:rPr>
                                <w:rFonts w:ascii="Arial" w:hAnsi="Arial" w:cs="Arial"/>
                                <w:b/>
                                <w:sz w:val="20"/>
                              </w:rPr>
                            </w:pPr>
                          </w:p>
                          <w:p w14:paraId="4CA81B88" w14:textId="4514A905" w:rsidR="00837CD3" w:rsidRPr="0002390D" w:rsidRDefault="0002390D" w:rsidP="000E1BFB">
                            <w:pPr>
                              <w:spacing w:after="120" w:line="240" w:lineRule="auto"/>
                              <w:jc w:val="center"/>
                              <w:rPr>
                                <w:rFonts w:ascii="Arial" w:hAnsi="Arial" w:cs="Arial"/>
                                <w:b/>
                                <w:bCs/>
                                <w:color w:val="4F81BD" w:themeColor="accent1"/>
                                <w:sz w:val="28"/>
                                <w:szCs w:val="28"/>
                              </w:rPr>
                            </w:pPr>
                            <w:r w:rsidRPr="0002390D">
                              <w:rPr>
                                <w:b/>
                                <w:bCs/>
                                <w:noProof/>
                                <w:sz w:val="28"/>
                                <w:szCs w:val="28"/>
                              </w:rPr>
                              <w:t>Model Letter To Supply Chain: Subcontractors.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275C51" id="AutoShape 3" o:spid="_x0000_s1026" style="position:absolute;margin-left:-17pt;margin-top:4.35pt;width:504.35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" fillcolor="white [3212]" strokecolor="#4f81bd [3204]" strokeweight="1pt">
                <v:textbox>
                  <w:txbxContent>
                    <w:p w14:paraId="1E577FA9" w14:textId="539E5A17" w:rsidR="00F17E95" w:rsidRPr="0002390D" w:rsidRDefault="006558DB" w:rsidP="0002390D">
                      <w:pPr>
                        <w:spacing w:after="120" w:line="240" w:lineRule="auto"/>
                        <w:jc w:val="center"/>
                        <w:rPr>
                          <w:rFonts w:ascii="Arial" w:hAnsi="Arial" w:cs="Arial"/>
                          <w:b/>
                          <w:color w:val="4F81BD" w:themeColor="accent1"/>
                          <w:sz w:val="24"/>
                          <w:szCs w:val="24"/>
                        </w:rPr>
                      </w:pPr>
                      <w:r w:rsidRPr="0002390D">
                        <w:rPr>
                          <w:rFonts w:ascii="Arial" w:hAnsi="Arial" w:cs="Arial"/>
                          <w:b/>
                          <w:color w:val="4F81BD" w:themeColor="accent1"/>
                          <w:sz w:val="24"/>
                          <w:szCs w:val="24"/>
                        </w:rPr>
                        <w:t xml:space="preserve">Guidance produced by </w:t>
                      </w:r>
                      <w:r w:rsidR="0002390D" w:rsidRPr="0002390D">
                        <w:rPr>
                          <w:rFonts w:ascii="Arial" w:hAnsi="Arial" w:cs="Arial"/>
                          <w:b/>
                          <w:color w:val="4F81BD" w:themeColor="accent1"/>
                          <w:sz w:val="24"/>
                          <w:szCs w:val="24"/>
                        </w:rPr>
                        <w:t>T</w:t>
                      </w:r>
                      <w:r w:rsidRPr="0002390D">
                        <w:rPr>
                          <w:rFonts w:ascii="Arial" w:hAnsi="Arial" w:cs="Arial"/>
                          <w:b/>
                          <w:color w:val="4F81BD" w:themeColor="accent1"/>
                          <w:sz w:val="24"/>
                          <w:szCs w:val="24"/>
                        </w:rPr>
                        <w:t>he Joint Taxation Co</w:t>
                      </w:r>
                      <w:r w:rsidR="000D3182">
                        <w:rPr>
                          <w:rFonts w:ascii="Arial" w:hAnsi="Arial" w:cs="Arial"/>
                          <w:b/>
                          <w:color w:val="4F81BD" w:themeColor="accent1"/>
                          <w:sz w:val="24"/>
                          <w:szCs w:val="24"/>
                        </w:rPr>
                        <w:t>mmittee</w:t>
                      </w:r>
                      <w:bookmarkStart w:id="1" w:name="_GoBack"/>
                      <w:bookmarkEnd w:id="1"/>
                      <w:r w:rsidRPr="0002390D">
                        <w:rPr>
                          <w:rFonts w:ascii="Arial" w:hAnsi="Arial" w:cs="Arial"/>
                          <w:b/>
                          <w:color w:val="4F81BD" w:themeColor="accent1"/>
                          <w:sz w:val="24"/>
                          <w:szCs w:val="24"/>
                        </w:rPr>
                        <w:t xml:space="preserve"> and adapted for use by ECA</w:t>
                      </w:r>
                    </w:p>
                    <w:p w14:paraId="1DC93FFA" w14:textId="3B0F464D" w:rsidR="004E3A06" w:rsidRDefault="0002390D" w:rsidP="003441AB">
                      <w:pPr>
                        <w:spacing w:after="120" w:line="240" w:lineRule="auto"/>
                        <w:jc w:val="both"/>
                        <w:rPr>
                          <w:rFonts w:ascii="Arial" w:hAnsi="Arial" w:cs="Arial"/>
                          <w:b/>
                          <w:sz w:val="20"/>
                        </w:rPr>
                      </w:pPr>
                      <w:r>
                        <w:rPr>
                          <w:rFonts w:ascii="Arial" w:hAnsi="Arial" w:cs="Arial"/>
                          <w:sz w:val="20"/>
                        </w:rPr>
                        <w:t>Domestic</w:t>
                      </w:r>
                      <w:r w:rsidR="006558DB">
                        <w:rPr>
                          <w:rFonts w:ascii="Arial" w:hAnsi="Arial" w:cs="Arial"/>
                          <w:sz w:val="20"/>
                        </w:rPr>
                        <w:t xml:space="preserve"> VAT Reverse Charge system coming into force on </w:t>
                      </w:r>
                      <w:r w:rsidR="006558DB" w:rsidRPr="006558DB">
                        <w:rPr>
                          <w:rFonts w:ascii="Arial" w:hAnsi="Arial" w:cs="Arial"/>
                          <w:b/>
                          <w:sz w:val="20"/>
                        </w:rPr>
                        <w:t>1</w:t>
                      </w:r>
                      <w:r w:rsidR="006558DB" w:rsidRPr="006558DB">
                        <w:rPr>
                          <w:rFonts w:ascii="Arial" w:hAnsi="Arial" w:cs="Arial"/>
                          <w:b/>
                          <w:sz w:val="20"/>
                          <w:vertAlign w:val="superscript"/>
                        </w:rPr>
                        <w:t>st</w:t>
                      </w:r>
                      <w:r w:rsidR="006558DB" w:rsidRPr="006558DB">
                        <w:rPr>
                          <w:rFonts w:ascii="Arial" w:hAnsi="Arial" w:cs="Arial"/>
                          <w:b/>
                          <w:sz w:val="20"/>
                        </w:rPr>
                        <w:t xml:space="preserve"> </w:t>
                      </w:r>
                      <w:r w:rsidR="00A27100">
                        <w:rPr>
                          <w:rFonts w:ascii="Arial" w:hAnsi="Arial" w:cs="Arial"/>
                          <w:b/>
                          <w:sz w:val="20"/>
                        </w:rPr>
                        <w:t>March</w:t>
                      </w:r>
                      <w:r w:rsidR="006558DB" w:rsidRPr="006558DB">
                        <w:rPr>
                          <w:rFonts w:ascii="Arial" w:hAnsi="Arial" w:cs="Arial"/>
                          <w:b/>
                          <w:sz w:val="20"/>
                        </w:rPr>
                        <w:t xml:space="preserve"> 202</w:t>
                      </w:r>
                      <w:r w:rsidR="00A27100">
                        <w:rPr>
                          <w:rFonts w:ascii="Arial" w:hAnsi="Arial" w:cs="Arial"/>
                          <w:b/>
                          <w:sz w:val="20"/>
                        </w:rPr>
                        <w:t>1</w:t>
                      </w:r>
                    </w:p>
                    <w:p w14:paraId="5408D183" w14:textId="77777777" w:rsidR="0002390D" w:rsidRDefault="0002390D" w:rsidP="003441AB">
                      <w:pPr>
                        <w:spacing w:after="120" w:line="240" w:lineRule="auto"/>
                        <w:jc w:val="both"/>
                        <w:rPr>
                          <w:rFonts w:ascii="Arial" w:hAnsi="Arial" w:cs="Arial"/>
                          <w:b/>
                          <w:sz w:val="20"/>
                        </w:rPr>
                      </w:pPr>
                    </w:p>
                    <w:p w14:paraId="4CA81B88" w14:textId="4514A905" w:rsidR="00837CD3" w:rsidRPr="0002390D" w:rsidRDefault="0002390D" w:rsidP="000E1BFB">
                      <w:pPr>
                        <w:spacing w:after="120" w:line="240" w:lineRule="auto"/>
                        <w:jc w:val="center"/>
                        <w:rPr>
                          <w:rFonts w:ascii="Arial" w:hAnsi="Arial" w:cs="Arial"/>
                          <w:b/>
                          <w:bCs/>
                          <w:color w:val="4F81BD" w:themeColor="accent1"/>
                          <w:sz w:val="28"/>
                          <w:szCs w:val="28"/>
                        </w:rPr>
                      </w:pPr>
                      <w:r w:rsidRPr="0002390D">
                        <w:rPr>
                          <w:b/>
                          <w:bCs/>
                          <w:noProof/>
                          <w:sz w:val="28"/>
                          <w:szCs w:val="28"/>
                        </w:rPr>
                        <w:t>Model Letter To Supply Chain: Subcontractors.</w:t>
                      </w:r>
                    </w:p>
                  </w:txbxContent>
                </v:textbox>
              </v:roundrect>
            </w:pict>
          </mc:Fallback>
        </mc:AlternateContent>
      </w:r>
    </w:p>
    <w:p w14:paraId="7339E887" w14:textId="77777777" w:rsidR="00C829BD" w:rsidRPr="00EC2094" w:rsidRDefault="00C829BD" w:rsidP="00C829BD">
      <w:pPr>
        <w:rPr>
          <w:sz w:val="20"/>
          <w:szCs w:val="20"/>
        </w:rPr>
      </w:pPr>
    </w:p>
    <w:p w14:paraId="0F9A7AC8" w14:textId="77777777" w:rsidR="00C829BD" w:rsidRPr="00EC2094" w:rsidRDefault="00C829BD" w:rsidP="00C829BD">
      <w:pPr>
        <w:rPr>
          <w:sz w:val="20"/>
          <w:szCs w:val="20"/>
        </w:rPr>
      </w:pPr>
    </w:p>
    <w:p w14:paraId="34650853" w14:textId="77777777" w:rsidR="00C829BD" w:rsidRDefault="00C829BD" w:rsidP="00C829BD">
      <w:pPr>
        <w:rPr>
          <w:sz w:val="20"/>
          <w:szCs w:val="20"/>
        </w:rPr>
      </w:pPr>
    </w:p>
    <w:p w14:paraId="638570B3" w14:textId="77777777" w:rsidR="000E1BFB" w:rsidRDefault="000E1BFB" w:rsidP="00C829BD">
      <w:pPr>
        <w:rPr>
          <w:sz w:val="20"/>
          <w:szCs w:val="20"/>
        </w:rPr>
      </w:pPr>
    </w:p>
    <w:p w14:paraId="4BA3B2D9" w14:textId="4FF98FFF" w:rsidR="0099534C" w:rsidRDefault="0002390D" w:rsidP="0002390D">
      <w:pPr>
        <w:spacing w:after="120" w:line="240" w:lineRule="auto"/>
        <w:jc w:val="both"/>
        <w:rPr>
          <w:rFonts w:ascii="Arial" w:hAnsi="Arial" w:cs="Arial"/>
          <w:i/>
          <w:iCs/>
          <w:color w:val="000000"/>
          <w:sz w:val="20"/>
          <w:szCs w:val="20"/>
        </w:rPr>
      </w:pPr>
      <w:r w:rsidRPr="0002390D">
        <w:rPr>
          <w:rFonts w:ascii="Arial" w:hAnsi="Arial" w:cs="Arial"/>
          <w:i/>
          <w:iCs/>
          <w:color w:val="000000"/>
          <w:sz w:val="20"/>
          <w:szCs w:val="20"/>
        </w:rPr>
        <w:t>T</w:t>
      </w:r>
      <w:r w:rsidR="0099534C" w:rsidRPr="0002390D">
        <w:rPr>
          <w:rFonts w:ascii="Arial" w:hAnsi="Arial" w:cs="Arial"/>
          <w:i/>
          <w:iCs/>
          <w:color w:val="000000"/>
          <w:sz w:val="20"/>
          <w:szCs w:val="20"/>
        </w:rPr>
        <w:t xml:space="preserve">his letter should go  to all VAT registered Subcontractors who you pay for construction operations, whether paid gross or net being subcontractors whose UTR you have verified. </w:t>
      </w:r>
    </w:p>
    <w:p w14:paraId="341612E9" w14:textId="77777777" w:rsidR="0002390D" w:rsidRDefault="0002390D" w:rsidP="0002390D">
      <w:pPr>
        <w:spacing w:after="120" w:line="240" w:lineRule="auto"/>
        <w:jc w:val="both"/>
        <w:rPr>
          <w:rFonts w:ascii="Arial" w:hAnsi="Arial" w:cs="Arial"/>
          <w:i/>
          <w:iCs/>
          <w:color w:val="000000"/>
          <w:sz w:val="20"/>
          <w:szCs w:val="20"/>
        </w:rPr>
      </w:pPr>
    </w:p>
    <w:p w14:paraId="4F71CBE8" w14:textId="28E78963" w:rsidR="0002390D" w:rsidRDefault="0002390D" w:rsidP="0002390D">
      <w:pPr>
        <w:spacing w:after="120" w:line="240" w:lineRule="auto"/>
        <w:jc w:val="both"/>
        <w:rPr>
          <w:rFonts w:ascii="Arial" w:hAnsi="Arial" w:cs="Arial"/>
          <w:color w:val="000000"/>
          <w:sz w:val="20"/>
          <w:szCs w:val="20"/>
        </w:rPr>
      </w:pPr>
      <w:r>
        <w:rPr>
          <w:rFonts w:ascii="Arial" w:hAnsi="Arial" w:cs="Arial"/>
          <w:color w:val="000000"/>
          <w:sz w:val="20"/>
          <w:szCs w:val="20"/>
        </w:rPr>
        <w:t>To Whom It May Concern.</w:t>
      </w:r>
    </w:p>
    <w:p w14:paraId="62111781" w14:textId="09819BC3" w:rsidR="0099534C" w:rsidRDefault="0099534C" w:rsidP="0099534C">
      <w:pPr>
        <w:spacing w:after="120" w:line="240" w:lineRule="auto"/>
        <w:rPr>
          <w:rFonts w:ascii="Arial" w:hAnsi="Arial" w:cs="Arial"/>
          <w:color w:val="000000"/>
          <w:sz w:val="20"/>
          <w:szCs w:val="20"/>
        </w:rPr>
      </w:pPr>
      <w:r w:rsidRPr="0099534C">
        <w:rPr>
          <w:rFonts w:ascii="Arial" w:hAnsi="Arial" w:cs="Arial"/>
          <w:color w:val="000000"/>
          <w:sz w:val="20"/>
          <w:szCs w:val="20"/>
        </w:rPr>
        <w:t>Dear XXXXX,</w:t>
      </w:r>
    </w:p>
    <w:p w14:paraId="4C412E0E" w14:textId="77777777" w:rsidR="0002390D" w:rsidRDefault="0002390D" w:rsidP="0099534C">
      <w:pPr>
        <w:spacing w:after="120" w:line="240" w:lineRule="auto"/>
        <w:rPr>
          <w:rFonts w:ascii="Arial" w:hAnsi="Arial" w:cs="Arial"/>
          <w:color w:val="000000"/>
          <w:sz w:val="20"/>
          <w:szCs w:val="20"/>
        </w:rPr>
      </w:pPr>
    </w:p>
    <w:p w14:paraId="325D8F24" w14:textId="4A8C756C" w:rsidR="0002390D" w:rsidRPr="0002390D" w:rsidRDefault="0002390D" w:rsidP="0099534C">
      <w:pPr>
        <w:spacing w:after="120" w:line="240" w:lineRule="auto"/>
        <w:rPr>
          <w:rFonts w:ascii="Arial" w:hAnsi="Arial" w:cs="Arial"/>
          <w:b/>
          <w:bCs/>
          <w:color w:val="000000"/>
          <w:sz w:val="20"/>
          <w:szCs w:val="20"/>
        </w:rPr>
      </w:pPr>
      <w:r w:rsidRPr="0002390D">
        <w:rPr>
          <w:rFonts w:ascii="Arial" w:hAnsi="Arial" w:cs="Arial"/>
          <w:b/>
          <w:bCs/>
          <w:color w:val="000000"/>
          <w:sz w:val="20"/>
          <w:szCs w:val="20"/>
        </w:rPr>
        <w:t>Re: The Introduction of Domestic VAT Reverse Charging, 1</w:t>
      </w:r>
      <w:r w:rsidRPr="0002390D">
        <w:rPr>
          <w:rFonts w:ascii="Arial" w:hAnsi="Arial" w:cs="Arial"/>
          <w:b/>
          <w:bCs/>
          <w:color w:val="000000"/>
          <w:sz w:val="20"/>
          <w:szCs w:val="20"/>
          <w:vertAlign w:val="superscript"/>
        </w:rPr>
        <w:t>st</w:t>
      </w:r>
      <w:r w:rsidRPr="0002390D">
        <w:rPr>
          <w:rFonts w:ascii="Arial" w:hAnsi="Arial" w:cs="Arial"/>
          <w:b/>
          <w:bCs/>
          <w:color w:val="000000"/>
          <w:sz w:val="20"/>
          <w:szCs w:val="20"/>
        </w:rPr>
        <w:t xml:space="preserve"> March 2021.</w:t>
      </w:r>
    </w:p>
    <w:p w14:paraId="7360894F" w14:textId="77777777" w:rsidR="0002390D" w:rsidRPr="0099534C" w:rsidRDefault="0002390D" w:rsidP="0099534C">
      <w:pPr>
        <w:spacing w:after="120" w:line="240" w:lineRule="auto"/>
        <w:rPr>
          <w:rFonts w:ascii="Arial" w:hAnsi="Arial" w:cs="Arial"/>
          <w:color w:val="000000"/>
          <w:sz w:val="20"/>
          <w:szCs w:val="20"/>
        </w:rPr>
      </w:pPr>
    </w:p>
    <w:p w14:paraId="44BFA68D" w14:textId="77777777" w:rsidR="0099534C" w:rsidRPr="0099534C" w:rsidRDefault="0099534C" w:rsidP="0099534C">
      <w:pPr>
        <w:spacing w:after="120" w:line="240" w:lineRule="auto"/>
        <w:rPr>
          <w:rFonts w:ascii="Arial" w:hAnsi="Arial" w:cs="Arial"/>
          <w:color w:val="000000"/>
          <w:sz w:val="20"/>
          <w:szCs w:val="20"/>
        </w:rPr>
      </w:pPr>
      <w:r w:rsidRPr="0099534C">
        <w:rPr>
          <w:rFonts w:ascii="Arial" w:hAnsi="Arial" w:cs="Arial"/>
          <w:color w:val="000000"/>
          <w:sz w:val="20"/>
          <w:szCs w:val="20"/>
        </w:rPr>
        <w:t>We are writing to you because you are a valued subcontractor of ours who is VAT registered and who provides us with construction services so who is paid under the terms of our CIS scheme (gross or net).</w:t>
      </w:r>
    </w:p>
    <w:p w14:paraId="07653E47" w14:textId="77777777" w:rsidR="0099534C" w:rsidRPr="0099534C" w:rsidRDefault="0099534C" w:rsidP="0099534C">
      <w:pPr>
        <w:spacing w:after="120" w:line="240" w:lineRule="auto"/>
        <w:rPr>
          <w:rFonts w:ascii="Arial" w:hAnsi="Arial" w:cs="Arial"/>
          <w:color w:val="000000"/>
          <w:sz w:val="20"/>
          <w:szCs w:val="20"/>
        </w:rPr>
      </w:pPr>
      <w:r w:rsidRPr="0099534C">
        <w:rPr>
          <w:rFonts w:ascii="Arial" w:hAnsi="Arial" w:cs="Arial"/>
          <w:color w:val="000000"/>
          <w:sz w:val="20"/>
          <w:szCs w:val="20"/>
        </w:rPr>
        <w:t>We think it is sensible to warn you of major changes to the VAT scheme for construction which HMRC are imposing and which will begin on 1</w:t>
      </w:r>
      <w:r w:rsidRPr="0099534C">
        <w:rPr>
          <w:rFonts w:ascii="Arial" w:hAnsi="Arial" w:cs="Arial"/>
          <w:color w:val="000000"/>
          <w:sz w:val="20"/>
          <w:szCs w:val="20"/>
          <w:vertAlign w:val="superscript"/>
        </w:rPr>
        <w:t>st</w:t>
      </w:r>
      <w:r w:rsidRPr="0099534C">
        <w:rPr>
          <w:rFonts w:ascii="Arial" w:hAnsi="Arial" w:cs="Arial"/>
          <w:color w:val="000000"/>
          <w:sz w:val="20"/>
          <w:szCs w:val="20"/>
        </w:rPr>
        <w:t xml:space="preserve"> March 2021. They will affect the payments we will make you after that date. It is important that you know and understand the changes and plan for them because they may have a large repercussions  for your cashflow this autumn.</w:t>
      </w:r>
    </w:p>
    <w:p w14:paraId="5212CF1B" w14:textId="77777777" w:rsidR="0099534C" w:rsidRPr="0099534C" w:rsidRDefault="0099534C" w:rsidP="0099534C">
      <w:pPr>
        <w:spacing w:after="120" w:line="240" w:lineRule="auto"/>
        <w:rPr>
          <w:rFonts w:ascii="Arial" w:hAnsi="Arial" w:cs="Arial"/>
          <w:color w:val="000000"/>
          <w:sz w:val="20"/>
          <w:szCs w:val="20"/>
        </w:rPr>
      </w:pPr>
      <w:r w:rsidRPr="0099534C">
        <w:rPr>
          <w:rFonts w:ascii="Arial" w:hAnsi="Arial" w:cs="Arial"/>
          <w:color w:val="000000"/>
          <w:sz w:val="20"/>
          <w:szCs w:val="20"/>
        </w:rPr>
        <w:t xml:space="preserve">The published guidance that has been released by HMRC so far is at </w:t>
      </w:r>
    </w:p>
    <w:p w14:paraId="36A02A2F" w14:textId="77777777" w:rsidR="0099534C" w:rsidRPr="0099534C" w:rsidRDefault="0099534C" w:rsidP="0099534C">
      <w:pPr>
        <w:spacing w:after="120" w:line="240" w:lineRule="auto"/>
        <w:rPr>
          <w:rFonts w:ascii="Arial" w:hAnsi="Arial" w:cs="Arial"/>
          <w:color w:val="000000"/>
          <w:sz w:val="20"/>
          <w:szCs w:val="20"/>
          <w:u w:val="single"/>
        </w:rPr>
      </w:pPr>
      <w:r w:rsidRPr="0099534C">
        <w:rPr>
          <w:rFonts w:ascii="Arial" w:hAnsi="Arial" w:cs="Arial"/>
          <w:color w:val="000000"/>
          <w:sz w:val="20"/>
          <w:szCs w:val="20"/>
          <w:u w:val="single"/>
        </w:rPr>
        <w:t>www.gov.uk/government/publications/vat-reverse-charge-for-building-and-construction-services</w:t>
      </w:r>
    </w:p>
    <w:p w14:paraId="397F0BB7" w14:textId="77777777" w:rsidR="0099534C" w:rsidRPr="0099534C" w:rsidRDefault="0099534C" w:rsidP="0099534C">
      <w:pPr>
        <w:spacing w:after="120" w:line="240" w:lineRule="auto"/>
        <w:rPr>
          <w:rFonts w:ascii="Arial" w:hAnsi="Arial" w:cs="Arial"/>
          <w:color w:val="000000"/>
          <w:sz w:val="20"/>
          <w:szCs w:val="20"/>
        </w:rPr>
      </w:pPr>
      <w:r w:rsidRPr="0099534C">
        <w:rPr>
          <w:rFonts w:ascii="Arial" w:hAnsi="Arial" w:cs="Arial"/>
          <w:color w:val="000000"/>
          <w:sz w:val="20"/>
          <w:szCs w:val="20"/>
        </w:rPr>
        <w:t xml:space="preserve">It is also useful to look at and understand the published guidance on the CIS scheme itself which can be found at </w:t>
      </w:r>
      <w:hyperlink r:id="rId8" w:history="1">
        <w:r w:rsidRPr="0099534C">
          <w:rPr>
            <w:rStyle w:val="Hyperlink"/>
            <w:rFonts w:ascii="Arial" w:hAnsi="Arial" w:cs="Arial"/>
            <w:sz w:val="20"/>
            <w:szCs w:val="20"/>
          </w:rPr>
          <w:t>www.gov.uk/government/publications/construction-industry-scheme-cis-340</w:t>
        </w:r>
      </w:hyperlink>
    </w:p>
    <w:p w14:paraId="59F13FA0" w14:textId="77777777" w:rsidR="0099534C" w:rsidRPr="0099534C" w:rsidRDefault="0099534C" w:rsidP="0099534C">
      <w:pPr>
        <w:spacing w:after="120" w:line="240" w:lineRule="auto"/>
        <w:rPr>
          <w:rFonts w:ascii="Arial" w:hAnsi="Arial" w:cs="Arial"/>
          <w:color w:val="000000"/>
          <w:sz w:val="20"/>
          <w:szCs w:val="20"/>
        </w:rPr>
      </w:pPr>
      <w:r w:rsidRPr="0099534C">
        <w:rPr>
          <w:rFonts w:ascii="Arial" w:hAnsi="Arial" w:cs="Arial"/>
          <w:color w:val="000000"/>
          <w:sz w:val="20"/>
          <w:szCs w:val="20"/>
        </w:rPr>
        <w:t xml:space="preserve">It seems likely that when working as a subcontractor for us the new reverse charge rules will apply to all the applications for payment or invoices that you send to us. This means that after 1. 03.2021  when you do £1000 of standard rated work for us </w:t>
      </w:r>
    </w:p>
    <w:p w14:paraId="1722B64B" w14:textId="77777777" w:rsidR="0099534C" w:rsidRPr="0099534C" w:rsidRDefault="0099534C" w:rsidP="0099534C">
      <w:pPr>
        <w:numPr>
          <w:ilvl w:val="0"/>
          <w:numId w:val="25"/>
        </w:numPr>
        <w:spacing w:after="120" w:line="240" w:lineRule="auto"/>
        <w:rPr>
          <w:rFonts w:ascii="Arial" w:hAnsi="Arial" w:cs="Arial"/>
          <w:color w:val="000000"/>
          <w:sz w:val="20"/>
          <w:szCs w:val="20"/>
        </w:rPr>
      </w:pPr>
      <w:r w:rsidRPr="0099534C">
        <w:rPr>
          <w:rFonts w:ascii="Arial" w:hAnsi="Arial" w:cs="Arial"/>
          <w:color w:val="000000"/>
          <w:sz w:val="20"/>
          <w:szCs w:val="20"/>
        </w:rPr>
        <w:t>You will invoice for £1000 showing your supply as standard rated  but NOT adding the £200 VAT to the amount due from us</w:t>
      </w:r>
    </w:p>
    <w:p w14:paraId="29B81491" w14:textId="77777777" w:rsidR="0099534C" w:rsidRPr="0099534C" w:rsidRDefault="0099534C" w:rsidP="0099534C">
      <w:pPr>
        <w:numPr>
          <w:ilvl w:val="0"/>
          <w:numId w:val="25"/>
        </w:numPr>
        <w:spacing w:after="120" w:line="240" w:lineRule="auto"/>
        <w:rPr>
          <w:rFonts w:ascii="Arial" w:hAnsi="Arial" w:cs="Arial"/>
          <w:color w:val="000000"/>
          <w:sz w:val="20"/>
          <w:szCs w:val="20"/>
        </w:rPr>
      </w:pPr>
      <w:r w:rsidRPr="0099534C">
        <w:rPr>
          <w:rFonts w:ascii="Arial" w:hAnsi="Arial" w:cs="Arial"/>
          <w:color w:val="000000"/>
          <w:sz w:val="20"/>
          <w:szCs w:val="20"/>
        </w:rPr>
        <w:t>We will pay £1000 (not £1200 as now)</w:t>
      </w:r>
    </w:p>
    <w:p w14:paraId="15F9D6CB" w14:textId="77777777" w:rsidR="0099534C" w:rsidRPr="0099534C" w:rsidRDefault="0099534C" w:rsidP="0099534C">
      <w:pPr>
        <w:numPr>
          <w:ilvl w:val="0"/>
          <w:numId w:val="25"/>
        </w:numPr>
        <w:spacing w:after="120" w:line="240" w:lineRule="auto"/>
        <w:rPr>
          <w:rFonts w:ascii="Arial" w:hAnsi="Arial" w:cs="Arial"/>
          <w:color w:val="000000"/>
          <w:sz w:val="20"/>
          <w:szCs w:val="20"/>
        </w:rPr>
      </w:pPr>
      <w:r w:rsidRPr="0099534C">
        <w:rPr>
          <w:rFonts w:ascii="Arial" w:hAnsi="Arial" w:cs="Arial"/>
          <w:color w:val="000000"/>
          <w:sz w:val="20"/>
          <w:szCs w:val="20"/>
        </w:rPr>
        <w:t>Our VAT return will show £1000 plus £200 VAT as both an input and an output .We will therefore gain no advantage from the change.</w:t>
      </w:r>
    </w:p>
    <w:p w14:paraId="2CB1F49A" w14:textId="77777777" w:rsidR="0099534C" w:rsidRPr="0099534C" w:rsidRDefault="0099534C" w:rsidP="0099534C">
      <w:pPr>
        <w:numPr>
          <w:ilvl w:val="0"/>
          <w:numId w:val="25"/>
        </w:numPr>
        <w:spacing w:after="120" w:line="240" w:lineRule="auto"/>
        <w:rPr>
          <w:rFonts w:ascii="Arial" w:hAnsi="Arial" w:cs="Arial"/>
          <w:color w:val="000000"/>
          <w:sz w:val="20"/>
          <w:szCs w:val="20"/>
        </w:rPr>
      </w:pPr>
      <w:r w:rsidRPr="0099534C">
        <w:rPr>
          <w:rFonts w:ascii="Arial" w:hAnsi="Arial" w:cs="Arial"/>
          <w:color w:val="000000"/>
          <w:sz w:val="20"/>
          <w:szCs w:val="20"/>
        </w:rPr>
        <w:t xml:space="preserve">Because you have not been paid £200 VAT by us , you will not owe HMRC £200 VAT </w:t>
      </w:r>
    </w:p>
    <w:p w14:paraId="42017D08" w14:textId="77777777" w:rsidR="0099534C" w:rsidRPr="0099534C" w:rsidRDefault="0099534C" w:rsidP="0099534C">
      <w:pPr>
        <w:numPr>
          <w:ilvl w:val="0"/>
          <w:numId w:val="25"/>
        </w:numPr>
        <w:spacing w:after="120" w:line="240" w:lineRule="auto"/>
        <w:rPr>
          <w:rFonts w:ascii="Arial" w:hAnsi="Arial" w:cs="Arial"/>
          <w:color w:val="000000"/>
          <w:sz w:val="20"/>
          <w:szCs w:val="20"/>
        </w:rPr>
      </w:pPr>
      <w:r w:rsidRPr="0099534C">
        <w:rPr>
          <w:rFonts w:ascii="Arial" w:hAnsi="Arial" w:cs="Arial"/>
          <w:color w:val="000000"/>
          <w:sz w:val="20"/>
          <w:szCs w:val="20"/>
        </w:rPr>
        <w:t xml:space="preserve">If you buy substantial materials used in subcontracted work, you may need to speak to your accountants to decide whether you should ask to send in monthly VAT returns in order to </w:t>
      </w:r>
      <w:r w:rsidRPr="0099534C">
        <w:rPr>
          <w:rFonts w:ascii="Arial" w:hAnsi="Arial" w:cs="Arial"/>
          <w:color w:val="000000"/>
          <w:sz w:val="20"/>
          <w:szCs w:val="20"/>
        </w:rPr>
        <w:lastRenderedPageBreak/>
        <w:t>recover the VAT you have spent on materials each month rather than wait for a quarterly repayment.</w:t>
      </w:r>
    </w:p>
    <w:p w14:paraId="4E266184" w14:textId="35DE6A97" w:rsidR="0099534C" w:rsidRPr="0099534C" w:rsidRDefault="0099534C" w:rsidP="0099534C">
      <w:pPr>
        <w:numPr>
          <w:ilvl w:val="0"/>
          <w:numId w:val="25"/>
        </w:numPr>
        <w:spacing w:after="120" w:line="240" w:lineRule="auto"/>
        <w:rPr>
          <w:rFonts w:ascii="Arial" w:hAnsi="Arial" w:cs="Arial"/>
          <w:color w:val="000000"/>
          <w:sz w:val="20"/>
          <w:szCs w:val="20"/>
        </w:rPr>
      </w:pPr>
      <w:r w:rsidRPr="0099534C">
        <w:rPr>
          <w:rFonts w:ascii="Arial" w:hAnsi="Arial" w:cs="Arial"/>
          <w:color w:val="000000"/>
          <w:sz w:val="20"/>
          <w:szCs w:val="20"/>
        </w:rPr>
        <w:t xml:space="preserve">If you do some work for end consumers like domestic customers, or for customers who are not VAT </w:t>
      </w:r>
      <w:r w:rsidR="0002390D" w:rsidRPr="0099534C">
        <w:rPr>
          <w:rFonts w:ascii="Arial" w:hAnsi="Arial" w:cs="Arial"/>
          <w:color w:val="000000"/>
          <w:sz w:val="20"/>
          <w:szCs w:val="20"/>
        </w:rPr>
        <w:t>registered,</w:t>
      </w:r>
      <w:r w:rsidRPr="0099534C">
        <w:rPr>
          <w:rFonts w:ascii="Arial" w:hAnsi="Arial" w:cs="Arial"/>
          <w:color w:val="000000"/>
          <w:sz w:val="20"/>
          <w:szCs w:val="20"/>
        </w:rPr>
        <w:t xml:space="preserve"> you will bill them the VAT as now. The new rules only affect supplies you make to firms who are not the final user of the building or structure and who are VAT registered. It is therefore sensible from now on to keep a record of your customers VAT numbers and ask them whether they include the payments they make to you on a CIS return (i</w:t>
      </w:r>
      <w:r w:rsidR="0002390D">
        <w:rPr>
          <w:rFonts w:ascii="Arial" w:hAnsi="Arial" w:cs="Arial"/>
          <w:color w:val="000000"/>
          <w:sz w:val="20"/>
          <w:szCs w:val="20"/>
        </w:rPr>
        <w:t>.</w:t>
      </w:r>
      <w:r w:rsidRPr="0099534C">
        <w:rPr>
          <w:rFonts w:ascii="Arial" w:hAnsi="Arial" w:cs="Arial"/>
          <w:color w:val="000000"/>
          <w:sz w:val="20"/>
          <w:szCs w:val="20"/>
        </w:rPr>
        <w:t>e</w:t>
      </w:r>
      <w:r w:rsidR="0002390D">
        <w:rPr>
          <w:rFonts w:ascii="Arial" w:hAnsi="Arial" w:cs="Arial"/>
          <w:color w:val="000000"/>
          <w:sz w:val="20"/>
          <w:szCs w:val="20"/>
        </w:rPr>
        <w:t>.</w:t>
      </w:r>
      <w:r w:rsidRPr="0099534C">
        <w:rPr>
          <w:rFonts w:ascii="Arial" w:hAnsi="Arial" w:cs="Arial"/>
          <w:color w:val="000000"/>
          <w:sz w:val="20"/>
          <w:szCs w:val="20"/>
        </w:rPr>
        <w:t xml:space="preserve"> the work is within the CIS scheme and they are CIS registered)</w:t>
      </w:r>
    </w:p>
    <w:p w14:paraId="3177D4FA" w14:textId="34D94610" w:rsidR="0099534C" w:rsidRPr="0099534C" w:rsidRDefault="0099534C" w:rsidP="0099534C">
      <w:pPr>
        <w:spacing w:after="120" w:line="240" w:lineRule="auto"/>
        <w:rPr>
          <w:rFonts w:ascii="Arial" w:hAnsi="Arial" w:cs="Arial"/>
          <w:color w:val="000000"/>
          <w:sz w:val="20"/>
          <w:szCs w:val="20"/>
        </w:rPr>
      </w:pPr>
      <w:r w:rsidRPr="0099534C">
        <w:rPr>
          <w:rFonts w:ascii="Arial" w:hAnsi="Arial" w:cs="Arial"/>
          <w:color w:val="000000"/>
          <w:sz w:val="20"/>
          <w:szCs w:val="20"/>
        </w:rPr>
        <w:t>The change is ahead –you must prepare</w:t>
      </w:r>
      <w:r w:rsidR="0002390D">
        <w:rPr>
          <w:rFonts w:ascii="Arial" w:hAnsi="Arial" w:cs="Arial"/>
          <w:color w:val="000000"/>
          <w:sz w:val="20"/>
          <w:szCs w:val="20"/>
        </w:rPr>
        <w:t>.</w:t>
      </w:r>
    </w:p>
    <w:p w14:paraId="5D32545C" w14:textId="506631B5" w:rsidR="0099534C" w:rsidRPr="0099534C" w:rsidRDefault="0099534C" w:rsidP="0099534C">
      <w:pPr>
        <w:spacing w:after="120" w:line="240" w:lineRule="auto"/>
        <w:rPr>
          <w:rFonts w:ascii="Arial" w:hAnsi="Arial" w:cs="Arial"/>
          <w:color w:val="000000"/>
          <w:sz w:val="20"/>
          <w:szCs w:val="20"/>
        </w:rPr>
      </w:pPr>
      <w:r w:rsidRPr="0099534C">
        <w:rPr>
          <w:rFonts w:ascii="Arial" w:hAnsi="Arial" w:cs="Arial"/>
          <w:color w:val="000000"/>
          <w:sz w:val="20"/>
          <w:szCs w:val="20"/>
        </w:rPr>
        <w:t xml:space="preserve">If the contractors you work for do not pay </w:t>
      </w:r>
      <w:r w:rsidR="0002390D" w:rsidRPr="0099534C">
        <w:rPr>
          <w:rFonts w:ascii="Arial" w:hAnsi="Arial" w:cs="Arial"/>
          <w:color w:val="000000"/>
          <w:sz w:val="20"/>
          <w:szCs w:val="20"/>
        </w:rPr>
        <w:t>you VAT</w:t>
      </w:r>
      <w:r w:rsidRPr="0099534C">
        <w:rPr>
          <w:rFonts w:ascii="Arial" w:hAnsi="Arial" w:cs="Arial"/>
          <w:color w:val="000000"/>
          <w:sz w:val="20"/>
          <w:szCs w:val="20"/>
        </w:rPr>
        <w:t xml:space="preserve"> after 1</w:t>
      </w:r>
      <w:r w:rsidRPr="0099534C">
        <w:rPr>
          <w:rFonts w:ascii="Arial" w:hAnsi="Arial" w:cs="Arial"/>
          <w:color w:val="000000"/>
          <w:sz w:val="20"/>
          <w:szCs w:val="20"/>
          <w:vertAlign w:val="superscript"/>
        </w:rPr>
        <w:t>st</w:t>
      </w:r>
      <w:r w:rsidRPr="0099534C">
        <w:rPr>
          <w:rFonts w:ascii="Arial" w:hAnsi="Arial" w:cs="Arial"/>
          <w:color w:val="000000"/>
          <w:sz w:val="20"/>
          <w:szCs w:val="20"/>
        </w:rPr>
        <w:t xml:space="preserve"> March, 2021 there will be implications for the flow of cash in your business and you MUST check how you can manage these. </w:t>
      </w:r>
    </w:p>
    <w:p w14:paraId="6EDB2995" w14:textId="0E619800" w:rsidR="0099534C" w:rsidRPr="0002390D" w:rsidRDefault="0099534C" w:rsidP="0099534C">
      <w:pPr>
        <w:spacing w:after="120" w:line="240" w:lineRule="auto"/>
        <w:rPr>
          <w:rFonts w:ascii="Arial" w:hAnsi="Arial" w:cs="Arial"/>
          <w:color w:val="000000"/>
          <w:sz w:val="20"/>
          <w:szCs w:val="20"/>
          <w:u w:val="single"/>
        </w:rPr>
      </w:pPr>
      <w:r w:rsidRPr="0002390D">
        <w:rPr>
          <w:rFonts w:ascii="Arial" w:hAnsi="Arial" w:cs="Arial"/>
          <w:color w:val="000000"/>
          <w:sz w:val="20"/>
          <w:szCs w:val="20"/>
          <w:u w:val="single"/>
        </w:rPr>
        <w:t>For example</w:t>
      </w:r>
      <w:r w:rsidR="0002390D">
        <w:rPr>
          <w:rFonts w:ascii="Arial" w:hAnsi="Arial" w:cs="Arial"/>
          <w:color w:val="000000"/>
          <w:sz w:val="20"/>
          <w:szCs w:val="20"/>
          <w:u w:val="single"/>
        </w:rPr>
        <w:t>:</w:t>
      </w:r>
    </w:p>
    <w:p w14:paraId="68D72300" w14:textId="09AC5F86" w:rsidR="0099534C" w:rsidRPr="0099534C" w:rsidRDefault="0099534C" w:rsidP="0099534C">
      <w:pPr>
        <w:spacing w:after="120" w:line="240" w:lineRule="auto"/>
        <w:rPr>
          <w:rFonts w:ascii="Arial" w:hAnsi="Arial" w:cs="Arial"/>
          <w:color w:val="000000"/>
          <w:sz w:val="20"/>
          <w:szCs w:val="20"/>
        </w:rPr>
      </w:pPr>
      <w:r w:rsidRPr="0099534C">
        <w:rPr>
          <w:rFonts w:ascii="Arial" w:hAnsi="Arial" w:cs="Arial"/>
          <w:color w:val="000000"/>
          <w:sz w:val="20"/>
          <w:szCs w:val="20"/>
        </w:rPr>
        <w:t xml:space="preserve">Will you have the money to pay your historic VAT </w:t>
      </w:r>
      <w:r w:rsidR="0002390D" w:rsidRPr="0099534C">
        <w:rPr>
          <w:rFonts w:ascii="Arial" w:hAnsi="Arial" w:cs="Arial"/>
          <w:color w:val="000000"/>
          <w:sz w:val="20"/>
          <w:szCs w:val="20"/>
        </w:rPr>
        <w:t>bill from</w:t>
      </w:r>
      <w:r w:rsidRPr="0099534C">
        <w:rPr>
          <w:rFonts w:ascii="Arial" w:hAnsi="Arial" w:cs="Arial"/>
          <w:color w:val="000000"/>
          <w:sz w:val="20"/>
          <w:szCs w:val="20"/>
        </w:rPr>
        <w:t xml:space="preserve"> the previous quarter in the old rules if no VAT is paid to you after 1</w:t>
      </w:r>
      <w:r w:rsidRPr="0099534C">
        <w:rPr>
          <w:rFonts w:ascii="Arial" w:hAnsi="Arial" w:cs="Arial"/>
          <w:color w:val="000000"/>
          <w:sz w:val="20"/>
          <w:szCs w:val="20"/>
          <w:vertAlign w:val="superscript"/>
        </w:rPr>
        <w:t>st</w:t>
      </w:r>
      <w:r w:rsidRPr="0099534C">
        <w:rPr>
          <w:rFonts w:ascii="Arial" w:hAnsi="Arial" w:cs="Arial"/>
          <w:color w:val="000000"/>
          <w:sz w:val="20"/>
          <w:szCs w:val="20"/>
        </w:rPr>
        <w:t xml:space="preserve"> March 2021?</w:t>
      </w:r>
    </w:p>
    <w:p w14:paraId="2066AA2B" w14:textId="77777777" w:rsidR="0099534C" w:rsidRPr="0099534C" w:rsidRDefault="0099534C" w:rsidP="0099534C">
      <w:pPr>
        <w:spacing w:after="120" w:line="240" w:lineRule="auto"/>
        <w:rPr>
          <w:rFonts w:ascii="Arial" w:hAnsi="Arial" w:cs="Arial"/>
          <w:color w:val="000000"/>
          <w:sz w:val="20"/>
          <w:szCs w:val="20"/>
        </w:rPr>
      </w:pPr>
      <w:r w:rsidRPr="0099534C">
        <w:rPr>
          <w:rFonts w:ascii="Arial" w:hAnsi="Arial" w:cs="Arial"/>
          <w:color w:val="000000"/>
          <w:sz w:val="20"/>
          <w:szCs w:val="20"/>
        </w:rPr>
        <w:t>Can you afford to pay wages and PAYE if VAT is not flowing through your bank account ?</w:t>
      </w:r>
    </w:p>
    <w:p w14:paraId="5BABCFBA" w14:textId="0257BE55" w:rsidR="0099534C" w:rsidRPr="0099534C" w:rsidRDefault="0099534C" w:rsidP="0099534C">
      <w:pPr>
        <w:spacing w:after="120" w:line="240" w:lineRule="auto"/>
        <w:rPr>
          <w:rFonts w:ascii="Arial" w:hAnsi="Arial" w:cs="Arial"/>
          <w:color w:val="000000"/>
          <w:sz w:val="20"/>
          <w:szCs w:val="20"/>
        </w:rPr>
      </w:pPr>
      <w:r w:rsidRPr="0099534C">
        <w:rPr>
          <w:rFonts w:ascii="Arial" w:hAnsi="Arial" w:cs="Arial"/>
          <w:color w:val="000000"/>
          <w:sz w:val="20"/>
          <w:szCs w:val="20"/>
        </w:rPr>
        <w:t xml:space="preserve">We will not be allowed to pay you VAT after the date of change so you must have prepared to withstand a period when cash flow may be stretched. Your invoices will need to be in a new format that does not add VAT to the total due. If you invoice for VAT after that date we will return the invoice which will delay payment. Be prepared. </w:t>
      </w:r>
    </w:p>
    <w:p w14:paraId="694CEC55" w14:textId="77777777" w:rsidR="0099534C" w:rsidRPr="0099534C" w:rsidRDefault="0099534C" w:rsidP="0099534C">
      <w:pPr>
        <w:spacing w:after="120" w:line="240" w:lineRule="auto"/>
        <w:rPr>
          <w:rFonts w:ascii="Arial" w:hAnsi="Arial" w:cs="Arial"/>
          <w:color w:val="000000"/>
          <w:sz w:val="20"/>
          <w:szCs w:val="20"/>
        </w:rPr>
      </w:pPr>
      <w:r w:rsidRPr="0099534C">
        <w:rPr>
          <w:rFonts w:ascii="Arial" w:hAnsi="Arial" w:cs="Arial"/>
          <w:color w:val="000000"/>
          <w:sz w:val="20"/>
          <w:szCs w:val="20"/>
        </w:rPr>
        <w:t xml:space="preserve">Transition </w:t>
      </w:r>
    </w:p>
    <w:p w14:paraId="471369F2" w14:textId="12D5A599" w:rsidR="0099534C" w:rsidRPr="0099534C" w:rsidRDefault="0099534C" w:rsidP="0099534C">
      <w:pPr>
        <w:spacing w:after="120" w:line="240" w:lineRule="auto"/>
        <w:rPr>
          <w:rFonts w:ascii="Arial" w:hAnsi="Arial" w:cs="Arial"/>
          <w:color w:val="000000"/>
          <w:sz w:val="20"/>
          <w:szCs w:val="20"/>
        </w:rPr>
      </w:pPr>
      <w:r w:rsidRPr="0099534C">
        <w:rPr>
          <w:rFonts w:ascii="Arial" w:hAnsi="Arial" w:cs="Arial"/>
          <w:color w:val="000000"/>
          <w:sz w:val="20"/>
          <w:szCs w:val="20"/>
        </w:rPr>
        <w:t>The cut over date is 1</w:t>
      </w:r>
      <w:r w:rsidRPr="0099534C">
        <w:rPr>
          <w:rFonts w:ascii="Arial" w:hAnsi="Arial" w:cs="Arial"/>
          <w:color w:val="000000"/>
          <w:sz w:val="20"/>
          <w:szCs w:val="20"/>
          <w:vertAlign w:val="superscript"/>
        </w:rPr>
        <w:t>st</w:t>
      </w:r>
      <w:r w:rsidRPr="0099534C">
        <w:rPr>
          <w:rFonts w:ascii="Arial" w:hAnsi="Arial" w:cs="Arial"/>
          <w:color w:val="000000"/>
          <w:sz w:val="20"/>
          <w:szCs w:val="20"/>
        </w:rPr>
        <w:t xml:space="preserve"> March 2021. Invoices dated up till 28.02.2021 will request VAT and can be paid with VAT. Invoices dated on 1</w:t>
      </w:r>
      <w:r w:rsidRPr="0099534C">
        <w:rPr>
          <w:rFonts w:ascii="Arial" w:hAnsi="Arial" w:cs="Arial"/>
          <w:color w:val="000000"/>
          <w:sz w:val="20"/>
          <w:szCs w:val="20"/>
          <w:vertAlign w:val="superscript"/>
        </w:rPr>
        <w:t>st</w:t>
      </w:r>
      <w:r w:rsidRPr="0099534C">
        <w:rPr>
          <w:rFonts w:ascii="Arial" w:hAnsi="Arial" w:cs="Arial"/>
          <w:color w:val="000000"/>
          <w:sz w:val="20"/>
          <w:szCs w:val="20"/>
        </w:rPr>
        <w:t xml:space="preserve"> March 2021 and after will not show VAT in the amount payable columns.</w:t>
      </w:r>
    </w:p>
    <w:p w14:paraId="4ED4466D" w14:textId="77777777" w:rsidR="0099534C" w:rsidRPr="0099534C" w:rsidRDefault="0099534C" w:rsidP="0099534C">
      <w:pPr>
        <w:spacing w:after="120" w:line="240" w:lineRule="auto"/>
        <w:rPr>
          <w:rFonts w:ascii="Arial" w:hAnsi="Arial" w:cs="Arial"/>
          <w:color w:val="000000"/>
          <w:sz w:val="20"/>
          <w:szCs w:val="20"/>
        </w:rPr>
      </w:pPr>
      <w:r w:rsidRPr="0099534C">
        <w:rPr>
          <w:rFonts w:ascii="Arial" w:hAnsi="Arial" w:cs="Arial"/>
          <w:color w:val="000000"/>
          <w:sz w:val="20"/>
          <w:szCs w:val="20"/>
        </w:rPr>
        <w:t>Staged or interim payments made after an application for payment when a  QS has certified work will be governed by the date of the payment itself. So staged or interim payments made up to or on 28</w:t>
      </w:r>
      <w:r w:rsidRPr="0099534C">
        <w:rPr>
          <w:rFonts w:ascii="Arial" w:hAnsi="Arial" w:cs="Arial"/>
          <w:color w:val="000000"/>
          <w:sz w:val="20"/>
          <w:szCs w:val="20"/>
          <w:vertAlign w:val="superscript"/>
        </w:rPr>
        <w:t>th</w:t>
      </w:r>
      <w:r w:rsidRPr="0099534C">
        <w:rPr>
          <w:rFonts w:ascii="Arial" w:hAnsi="Arial" w:cs="Arial"/>
          <w:color w:val="000000"/>
          <w:sz w:val="20"/>
          <w:szCs w:val="20"/>
        </w:rPr>
        <w:t xml:space="preserve"> February, 2021 will have VAT added. Those paid after that date will not be paid with VAT.</w:t>
      </w:r>
    </w:p>
    <w:p w14:paraId="409E9173" w14:textId="77777777" w:rsidR="0099534C" w:rsidRPr="0099534C" w:rsidRDefault="0099534C" w:rsidP="0099534C">
      <w:pPr>
        <w:spacing w:after="120" w:line="240" w:lineRule="auto"/>
        <w:rPr>
          <w:rFonts w:ascii="Arial" w:hAnsi="Arial" w:cs="Arial"/>
          <w:color w:val="000000"/>
          <w:sz w:val="20"/>
          <w:szCs w:val="20"/>
        </w:rPr>
      </w:pPr>
      <w:r w:rsidRPr="0099534C">
        <w:rPr>
          <w:rFonts w:ascii="Arial" w:hAnsi="Arial" w:cs="Arial"/>
          <w:color w:val="000000"/>
          <w:sz w:val="20"/>
          <w:szCs w:val="20"/>
        </w:rPr>
        <w:t>We understand that this is a major change for everyone and will worry you.</w:t>
      </w:r>
    </w:p>
    <w:p w14:paraId="1E3EB80E" w14:textId="77777777" w:rsidR="0099534C" w:rsidRPr="0099534C" w:rsidRDefault="0099534C" w:rsidP="0099534C">
      <w:pPr>
        <w:numPr>
          <w:ilvl w:val="0"/>
          <w:numId w:val="26"/>
        </w:numPr>
        <w:spacing w:after="120" w:line="240" w:lineRule="auto"/>
        <w:rPr>
          <w:rFonts w:ascii="Arial" w:hAnsi="Arial" w:cs="Arial"/>
          <w:color w:val="000000"/>
          <w:sz w:val="20"/>
          <w:szCs w:val="20"/>
        </w:rPr>
      </w:pPr>
      <w:r w:rsidRPr="0099534C">
        <w:rPr>
          <w:rFonts w:ascii="Arial" w:hAnsi="Arial" w:cs="Arial"/>
          <w:color w:val="000000"/>
          <w:sz w:val="20"/>
          <w:szCs w:val="20"/>
        </w:rPr>
        <w:t>Read the government website</w:t>
      </w:r>
    </w:p>
    <w:p w14:paraId="6727AB4E" w14:textId="77777777" w:rsidR="0099534C" w:rsidRPr="0099534C" w:rsidRDefault="0099534C" w:rsidP="0099534C">
      <w:pPr>
        <w:numPr>
          <w:ilvl w:val="0"/>
          <w:numId w:val="26"/>
        </w:numPr>
        <w:spacing w:after="120" w:line="240" w:lineRule="auto"/>
        <w:rPr>
          <w:rFonts w:ascii="Arial" w:hAnsi="Arial" w:cs="Arial"/>
          <w:color w:val="000000"/>
          <w:sz w:val="20"/>
          <w:szCs w:val="20"/>
        </w:rPr>
      </w:pPr>
      <w:r w:rsidRPr="0099534C">
        <w:rPr>
          <w:rFonts w:ascii="Arial" w:hAnsi="Arial" w:cs="Arial"/>
          <w:color w:val="000000"/>
          <w:sz w:val="20"/>
          <w:szCs w:val="20"/>
        </w:rPr>
        <w:t>Talk to your accountant</w:t>
      </w:r>
    </w:p>
    <w:p w14:paraId="77E3AE58" w14:textId="77777777" w:rsidR="0099534C" w:rsidRPr="0099534C" w:rsidRDefault="0099534C" w:rsidP="0099534C">
      <w:pPr>
        <w:numPr>
          <w:ilvl w:val="0"/>
          <w:numId w:val="26"/>
        </w:numPr>
        <w:spacing w:after="120" w:line="240" w:lineRule="auto"/>
        <w:rPr>
          <w:rFonts w:ascii="Arial" w:hAnsi="Arial" w:cs="Arial"/>
          <w:color w:val="000000"/>
          <w:sz w:val="20"/>
          <w:szCs w:val="20"/>
        </w:rPr>
      </w:pPr>
      <w:r w:rsidRPr="0099534C">
        <w:rPr>
          <w:rFonts w:ascii="Arial" w:hAnsi="Arial" w:cs="Arial"/>
          <w:color w:val="000000"/>
          <w:sz w:val="20"/>
          <w:szCs w:val="20"/>
        </w:rPr>
        <w:t>Plan out how you will pay your bills through the first quarter of 2021 when cashflow will be at its most difficult</w:t>
      </w:r>
    </w:p>
    <w:p w14:paraId="74A44C18" w14:textId="77777777" w:rsidR="0099534C" w:rsidRPr="0099534C" w:rsidRDefault="0099534C" w:rsidP="0099534C">
      <w:pPr>
        <w:numPr>
          <w:ilvl w:val="0"/>
          <w:numId w:val="26"/>
        </w:numPr>
        <w:spacing w:after="120" w:line="240" w:lineRule="auto"/>
        <w:rPr>
          <w:rFonts w:ascii="Arial" w:hAnsi="Arial" w:cs="Arial"/>
          <w:color w:val="000000"/>
          <w:sz w:val="20"/>
          <w:szCs w:val="20"/>
        </w:rPr>
      </w:pPr>
      <w:r w:rsidRPr="0099534C">
        <w:rPr>
          <w:rFonts w:ascii="Arial" w:hAnsi="Arial" w:cs="Arial"/>
          <w:color w:val="000000"/>
          <w:sz w:val="20"/>
          <w:szCs w:val="20"/>
        </w:rPr>
        <w:t>Redesign your invoices and applications for payment</w:t>
      </w:r>
    </w:p>
    <w:p w14:paraId="5E0824BC" w14:textId="77777777" w:rsidR="0099534C" w:rsidRPr="0099534C" w:rsidRDefault="0099534C" w:rsidP="0099534C">
      <w:pPr>
        <w:numPr>
          <w:ilvl w:val="0"/>
          <w:numId w:val="26"/>
        </w:numPr>
        <w:spacing w:after="120" w:line="240" w:lineRule="auto"/>
        <w:rPr>
          <w:rFonts w:ascii="Arial" w:hAnsi="Arial" w:cs="Arial"/>
          <w:color w:val="000000"/>
          <w:sz w:val="20"/>
          <w:szCs w:val="20"/>
        </w:rPr>
      </w:pPr>
      <w:r w:rsidRPr="0099534C">
        <w:rPr>
          <w:rFonts w:ascii="Arial" w:hAnsi="Arial" w:cs="Arial"/>
          <w:color w:val="000000"/>
          <w:sz w:val="20"/>
          <w:szCs w:val="20"/>
        </w:rPr>
        <w:t>Consider how you will monitor whether your customers are VAT registered and CIS registered</w:t>
      </w:r>
    </w:p>
    <w:p w14:paraId="79762F6A" w14:textId="77777777" w:rsidR="0099534C" w:rsidRPr="0099534C" w:rsidRDefault="0099534C" w:rsidP="0099534C">
      <w:pPr>
        <w:numPr>
          <w:ilvl w:val="0"/>
          <w:numId w:val="26"/>
        </w:numPr>
        <w:spacing w:after="120" w:line="240" w:lineRule="auto"/>
        <w:rPr>
          <w:rFonts w:ascii="Arial" w:hAnsi="Arial" w:cs="Arial"/>
          <w:color w:val="000000"/>
          <w:sz w:val="20"/>
          <w:szCs w:val="20"/>
        </w:rPr>
      </w:pPr>
      <w:r w:rsidRPr="0099534C">
        <w:rPr>
          <w:rFonts w:ascii="Arial" w:hAnsi="Arial" w:cs="Arial"/>
          <w:color w:val="000000"/>
          <w:sz w:val="20"/>
          <w:szCs w:val="20"/>
        </w:rPr>
        <w:t>Think about whether you will need to be a monthly repayment trader.</w:t>
      </w:r>
    </w:p>
    <w:p w14:paraId="4605DDA8" w14:textId="5FBE2365" w:rsidR="0099534C" w:rsidRPr="0099534C" w:rsidRDefault="0099534C" w:rsidP="0099534C">
      <w:pPr>
        <w:spacing w:after="120" w:line="240" w:lineRule="auto"/>
        <w:rPr>
          <w:rFonts w:ascii="Arial" w:hAnsi="Arial" w:cs="Arial"/>
          <w:color w:val="000000"/>
          <w:sz w:val="20"/>
          <w:szCs w:val="20"/>
        </w:rPr>
      </w:pPr>
      <w:r w:rsidRPr="0099534C">
        <w:rPr>
          <w:rFonts w:ascii="Arial" w:hAnsi="Arial" w:cs="Arial"/>
          <w:color w:val="000000"/>
          <w:sz w:val="20"/>
          <w:szCs w:val="20"/>
        </w:rPr>
        <w:t xml:space="preserve">Remember that the Government will soon have a dedicated reverse charge website where there will be more information. This letter is intended only to warn you of the change and allow you to make your own </w:t>
      </w:r>
      <w:r w:rsidR="0002390D" w:rsidRPr="0099534C">
        <w:rPr>
          <w:rFonts w:ascii="Arial" w:hAnsi="Arial" w:cs="Arial"/>
          <w:color w:val="000000"/>
          <w:sz w:val="20"/>
          <w:szCs w:val="20"/>
        </w:rPr>
        <w:t>preparations.</w:t>
      </w:r>
      <w:r w:rsidRPr="0099534C">
        <w:rPr>
          <w:rFonts w:ascii="Arial" w:hAnsi="Arial" w:cs="Arial"/>
          <w:color w:val="000000"/>
          <w:sz w:val="20"/>
          <w:szCs w:val="20"/>
        </w:rPr>
        <w:t xml:space="preserve"> We hope you find it helpful.</w:t>
      </w:r>
    </w:p>
    <w:p w14:paraId="6A156273" w14:textId="77777777" w:rsidR="0099534C" w:rsidRPr="0099534C" w:rsidRDefault="0099534C" w:rsidP="0099534C">
      <w:pPr>
        <w:spacing w:after="120" w:line="240" w:lineRule="auto"/>
        <w:rPr>
          <w:rFonts w:ascii="Arial" w:hAnsi="Arial" w:cs="Arial"/>
          <w:color w:val="000000"/>
          <w:sz w:val="20"/>
          <w:szCs w:val="20"/>
        </w:rPr>
      </w:pPr>
      <w:r w:rsidRPr="0099534C">
        <w:rPr>
          <w:rFonts w:ascii="Arial" w:hAnsi="Arial" w:cs="Arial"/>
          <w:color w:val="000000"/>
          <w:sz w:val="20"/>
          <w:szCs w:val="20"/>
        </w:rPr>
        <w:t xml:space="preserve">Yours faithfully, </w:t>
      </w:r>
    </w:p>
    <w:p w14:paraId="13B9E0A4" w14:textId="32CE4667" w:rsidR="0099534C" w:rsidRPr="00E46533" w:rsidRDefault="0099534C" w:rsidP="00660B5F">
      <w:pPr>
        <w:spacing w:after="120" w:line="240" w:lineRule="auto"/>
        <w:rPr>
          <w:rFonts w:ascii="Arial" w:hAnsi="Arial" w:cs="Arial"/>
          <w:color w:val="000000"/>
          <w:sz w:val="20"/>
          <w:szCs w:val="20"/>
        </w:rPr>
        <w:sectPr w:rsidR="0099534C" w:rsidRPr="00E46533" w:rsidSect="00C829BD">
          <w:headerReference w:type="default" r:id="rId9"/>
          <w:footerReference w:type="default" r:id="rId10"/>
          <w:headerReference w:type="first" r:id="rId11"/>
          <w:footerReference w:type="first" r:id="rId12"/>
          <w:pgSz w:w="11906" w:h="16838"/>
          <w:pgMar w:top="1276" w:right="1440" w:bottom="993" w:left="1440" w:header="708" w:footer="1020" w:gutter="0"/>
          <w:cols w:space="708"/>
          <w:titlePg/>
          <w:docGrid w:linePitch="360"/>
        </w:sectPr>
      </w:pPr>
    </w:p>
    <w:p w14:paraId="5CEBBDC1" w14:textId="77777777" w:rsidR="00660B5F" w:rsidRDefault="00660B5F"/>
    <w:p w14:paraId="5ADB8E92" w14:textId="77777777" w:rsidR="00C829BD" w:rsidRPr="00745A83" w:rsidRDefault="00B82EC4" w:rsidP="00C829BD">
      <w:r>
        <w:rPr>
          <w:noProof/>
        </w:rPr>
        <mc:AlternateContent>
          <mc:Choice Requires="wps">
            <w:drawing>
              <wp:anchor distT="0" distB="0" distL="114300" distR="114300" simplePos="0" relativeHeight="251662336" behindDoc="0" locked="0" layoutInCell="1" allowOverlap="1" wp14:anchorId="3CC1159E" wp14:editId="566732E0">
                <wp:simplePos x="0" y="0"/>
                <wp:positionH relativeFrom="margin">
                  <wp:posOffset>-233045</wp:posOffset>
                </wp:positionH>
                <wp:positionV relativeFrom="margin">
                  <wp:posOffset>8731250</wp:posOffset>
                </wp:positionV>
                <wp:extent cx="6196330" cy="393700"/>
                <wp:effectExtent l="0" t="0" r="0" b="0"/>
                <wp:wrapSquare wrapText="bothSides"/>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EB0C5" w14:textId="77777777" w:rsidR="00BE2D04" w:rsidRPr="008B15D1" w:rsidRDefault="00BE2D04" w:rsidP="00C829BD">
                            <w:pPr>
                              <w:spacing w:after="0"/>
                              <w:jc w:val="center"/>
                              <w:rPr>
                                <w:rFonts w:ascii="Arial" w:hAnsi="Arial" w:cs="Arial"/>
                                <w:sz w:val="18"/>
                              </w:rPr>
                            </w:pPr>
                            <w:r w:rsidRPr="008B15D1">
                              <w:rPr>
                                <w:rFonts w:ascii="Arial" w:hAnsi="Arial" w:cs="Arial"/>
                                <w:sz w:val="18"/>
                              </w:rPr>
                              <w:t>ECA, Rotherwick House, 3 Thomas More Street, St. Katharine’s &amp; Wapping, London E1W 1YZ</w:t>
                            </w:r>
                          </w:p>
                          <w:p w14:paraId="1820649D" w14:textId="77777777" w:rsidR="00BE2D04" w:rsidRPr="008B15D1" w:rsidRDefault="00BE2D04" w:rsidP="00C829BD">
                            <w:pPr>
                              <w:spacing w:after="0"/>
                              <w:jc w:val="center"/>
                              <w:rPr>
                                <w:sz w:val="18"/>
                              </w:rPr>
                            </w:pPr>
                            <w:r w:rsidRPr="008B15D1">
                              <w:rPr>
                                <w:rFonts w:ascii="Arial" w:hAnsi="Arial" w:cs="Arial"/>
                                <w:b/>
                                <w:sz w:val="18"/>
                              </w:rPr>
                              <w:t>Tel</w:t>
                            </w:r>
                            <w:r w:rsidRPr="008B15D1">
                              <w:rPr>
                                <w:rFonts w:ascii="Arial" w:hAnsi="Arial" w:cs="Arial"/>
                                <w:sz w:val="18"/>
                              </w:rPr>
                              <w:t xml:space="preserve">: 020 7313 4800   </w:t>
                            </w:r>
                            <w:r w:rsidRPr="008B15D1">
                              <w:rPr>
                                <w:rFonts w:ascii="Arial" w:hAnsi="Arial" w:cs="Arial"/>
                                <w:b/>
                                <w:sz w:val="18"/>
                              </w:rPr>
                              <w:t>Email</w:t>
                            </w:r>
                            <w:r w:rsidRPr="008B15D1">
                              <w:rPr>
                                <w:rFonts w:ascii="Arial" w:hAnsi="Arial" w:cs="Arial"/>
                                <w:sz w:val="18"/>
                              </w:rPr>
                              <w:t xml:space="preserve">: </w:t>
                            </w:r>
                            <w:hyperlink r:id="rId13" w:history="1">
                              <w:r w:rsidRPr="008B15D1">
                                <w:rPr>
                                  <w:rStyle w:val="Hyperlink"/>
                                  <w:rFonts w:ascii="Arial" w:hAnsi="Arial" w:cs="Arial"/>
                                  <w:sz w:val="18"/>
                                </w:rPr>
                                <w:t>info@eca.co.uk</w:t>
                              </w:r>
                            </w:hyperlink>
                            <w:r w:rsidRPr="008B15D1">
                              <w:rPr>
                                <w:rFonts w:ascii="Arial" w:hAnsi="Arial" w:cs="Arial"/>
                                <w:sz w:val="18"/>
                              </w:rPr>
                              <w:t xml:space="preserve">   </w:t>
                            </w:r>
                            <w:r w:rsidRPr="008B15D1">
                              <w:rPr>
                                <w:rFonts w:ascii="Arial" w:hAnsi="Arial" w:cs="Arial"/>
                                <w:b/>
                                <w:sz w:val="18"/>
                              </w:rPr>
                              <w:t>www.eca.co.uk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C1159E" id="_x0000_t202" coordsize="21600,21600" o:spt="202" path="m,l,21600r21600,l21600,xe">
                <v:stroke joinstyle="miter"/>
                <v:path gradientshapeok="t" o:connecttype="rect"/>
              </v:shapetype>
              <v:shape id="Text Box 4" o:spid="_x0000_s1027" type="#_x0000_t202" style="position:absolute;margin-left:-18.35pt;margin-top:687.5pt;width:487.9pt;height:31pt;z-index:251662336;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" stroked="f">
                <v:textbox style="mso-fit-shape-to-text:t">
                  <w:txbxContent>
                    <w:p w14:paraId="578EB0C5" w14:textId="77777777" w:rsidR="00BE2D04" w:rsidRPr="008B15D1" w:rsidRDefault="00BE2D04" w:rsidP="00C829BD">
                      <w:pPr>
                        <w:spacing w:after="0"/>
                        <w:jc w:val="center"/>
                        <w:rPr>
                          <w:rFonts w:ascii="Arial" w:hAnsi="Arial" w:cs="Arial"/>
                          <w:sz w:val="18"/>
                        </w:rPr>
                      </w:pPr>
                      <w:r w:rsidRPr="008B15D1">
                        <w:rPr>
                          <w:rFonts w:ascii="Arial" w:hAnsi="Arial" w:cs="Arial"/>
                          <w:sz w:val="18"/>
                        </w:rPr>
                        <w:t>ECA, Rotherwick House, 3 Thomas More Street, St. Katharine’s &amp; Wapping, London E1W 1YZ</w:t>
                      </w:r>
                    </w:p>
                    <w:p w14:paraId="1820649D" w14:textId="77777777" w:rsidR="00BE2D04" w:rsidRPr="008B15D1" w:rsidRDefault="00BE2D04" w:rsidP="00C829BD">
                      <w:pPr>
                        <w:spacing w:after="0"/>
                        <w:jc w:val="center"/>
                        <w:rPr>
                          <w:sz w:val="18"/>
                        </w:rPr>
                      </w:pPr>
                      <w:r w:rsidRPr="008B15D1">
                        <w:rPr>
                          <w:rFonts w:ascii="Arial" w:hAnsi="Arial" w:cs="Arial"/>
                          <w:b/>
                          <w:sz w:val="18"/>
                        </w:rPr>
                        <w:t>Tel</w:t>
                      </w:r>
                      <w:r w:rsidRPr="008B15D1">
                        <w:rPr>
                          <w:rFonts w:ascii="Arial" w:hAnsi="Arial" w:cs="Arial"/>
                          <w:sz w:val="18"/>
                        </w:rPr>
                        <w:t xml:space="preserve">: 020 7313 4800   </w:t>
                      </w:r>
                      <w:r w:rsidRPr="008B15D1">
                        <w:rPr>
                          <w:rFonts w:ascii="Arial" w:hAnsi="Arial" w:cs="Arial"/>
                          <w:b/>
                          <w:sz w:val="18"/>
                        </w:rPr>
                        <w:t>Email</w:t>
                      </w:r>
                      <w:r w:rsidRPr="008B15D1">
                        <w:rPr>
                          <w:rFonts w:ascii="Arial" w:hAnsi="Arial" w:cs="Arial"/>
                          <w:sz w:val="18"/>
                        </w:rPr>
                        <w:t xml:space="preserve">: </w:t>
                      </w:r>
                      <w:hyperlink r:id="rId14" w:history="1">
                        <w:r w:rsidRPr="008B15D1">
                          <w:rPr>
                            <w:rStyle w:val="Hyperlink"/>
                            <w:rFonts w:ascii="Arial" w:hAnsi="Arial" w:cs="Arial"/>
                            <w:sz w:val="18"/>
                          </w:rPr>
                          <w:t>info@eca.co.uk</w:t>
                        </w:r>
                      </w:hyperlink>
                      <w:r w:rsidRPr="008B15D1">
                        <w:rPr>
                          <w:rFonts w:ascii="Arial" w:hAnsi="Arial" w:cs="Arial"/>
                          <w:sz w:val="18"/>
                        </w:rPr>
                        <w:t xml:space="preserve">   </w:t>
                      </w:r>
                      <w:r w:rsidRPr="008B15D1">
                        <w:rPr>
                          <w:rFonts w:ascii="Arial" w:hAnsi="Arial" w:cs="Arial"/>
                          <w:b/>
                          <w:sz w:val="18"/>
                        </w:rPr>
                        <w:t>www.eca.co.uk</w:t>
                      </w:r>
                    </w:p>
                  </w:txbxContent>
                </v:textbox>
                <w10:wrap type="square"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5017AB78" wp14:editId="3719EA3E">
                <wp:simplePos x="0" y="0"/>
                <wp:positionH relativeFrom="column">
                  <wp:posOffset>6096635</wp:posOffset>
                </wp:positionH>
                <wp:positionV relativeFrom="paragraph">
                  <wp:posOffset>3705860</wp:posOffset>
                </wp:positionV>
                <wp:extent cx="430530" cy="476123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4761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1BC96" w14:textId="77777777" w:rsidR="00BE2D04" w:rsidRPr="008B15D1" w:rsidRDefault="00BE2D04" w:rsidP="00C829BD">
                            <w:pPr>
                              <w:jc w:val="center"/>
                              <w:rPr>
                                <w:rFonts w:ascii="Arial" w:hAnsi="Arial" w:cs="Arial"/>
                                <w:sz w:val="14"/>
                                <w:szCs w:val="14"/>
                              </w:rPr>
                            </w:pPr>
                            <w:r w:rsidRPr="008B15D1">
                              <w:rPr>
                                <w:rFonts w:ascii="Arial" w:hAnsi="Arial" w:cs="Arial"/>
                                <w:sz w:val="14"/>
                                <w:szCs w:val="14"/>
                              </w:rPr>
                              <w:t>P19491806  The ECA Logo is a Registered Collective Mark. Information presented is accurate at time of printing.</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017AB78" id="Text Box 5" o:spid="_x0000_s1028" type="#_x0000_t202" style="position:absolute;margin-left:480.05pt;margin-top:291.8pt;width:33.9pt;height:37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" stroked="f">
                <v:textbox style="layout-flow:vertical;mso-layout-flow-alt:bottom-to-top;mso-fit-shape-to-text:t">
                  <w:txbxContent>
                    <w:p w14:paraId="5041BC96" w14:textId="77777777" w:rsidR="00BE2D04" w:rsidRPr="008B15D1" w:rsidRDefault="00BE2D04" w:rsidP="00C829BD">
                      <w:pPr>
                        <w:jc w:val="center"/>
                        <w:rPr>
                          <w:rFonts w:ascii="Arial" w:hAnsi="Arial" w:cs="Arial"/>
                          <w:sz w:val="14"/>
                          <w:szCs w:val="14"/>
                        </w:rPr>
                      </w:pPr>
                      <w:r w:rsidRPr="008B15D1">
                        <w:rPr>
                          <w:rFonts w:ascii="Arial" w:hAnsi="Arial" w:cs="Arial"/>
                          <w:sz w:val="14"/>
                          <w:szCs w:val="14"/>
                        </w:rPr>
                        <w:t>P</w:t>
                      </w:r>
                      <w:proofErr w:type="gramStart"/>
                      <w:r w:rsidRPr="008B15D1">
                        <w:rPr>
                          <w:rFonts w:ascii="Arial" w:hAnsi="Arial" w:cs="Arial"/>
                          <w:sz w:val="14"/>
                          <w:szCs w:val="14"/>
                        </w:rPr>
                        <w:t>19491806  The</w:t>
                      </w:r>
                      <w:proofErr w:type="gramEnd"/>
                      <w:r w:rsidRPr="008B15D1">
                        <w:rPr>
                          <w:rFonts w:ascii="Arial" w:hAnsi="Arial" w:cs="Arial"/>
                          <w:sz w:val="14"/>
                          <w:szCs w:val="14"/>
                        </w:rPr>
                        <w:t xml:space="preserve"> ECA Logo is a Registered Collective Mark. Information presented is accurate at time of printing.</w:t>
                      </w:r>
                    </w:p>
                  </w:txbxContent>
                </v:textbox>
              </v:shape>
            </w:pict>
          </mc:Fallback>
        </mc:AlternateContent>
      </w:r>
    </w:p>
    <w:p w14:paraId="33F961BD" w14:textId="77777777" w:rsidR="00745A83" w:rsidRPr="00C829BD" w:rsidRDefault="00FF3F5E" w:rsidP="00C829BD">
      <w:r>
        <w:rPr>
          <w:noProof/>
          <w:lang w:eastAsia="en-GB"/>
        </w:rPr>
        <w:drawing>
          <wp:anchor distT="0" distB="0" distL="114300" distR="114300" simplePos="0" relativeHeight="251655680" behindDoc="1" locked="0" layoutInCell="1" allowOverlap="1" wp14:anchorId="783C2995" wp14:editId="371429E6">
            <wp:simplePos x="0" y="0"/>
            <wp:positionH relativeFrom="margin">
              <wp:align>center</wp:align>
            </wp:positionH>
            <wp:positionV relativeFrom="paragraph">
              <wp:posOffset>5608320</wp:posOffset>
            </wp:positionV>
            <wp:extent cx="1835150" cy="1179195"/>
            <wp:effectExtent l="0" t="0" r="0" b="1905"/>
            <wp:wrapTight wrapText="bothSides">
              <wp:wrapPolygon edited="0">
                <wp:start x="0" y="0"/>
                <wp:lineTo x="0" y="21286"/>
                <wp:lineTo x="21301" y="21286"/>
                <wp:lineTo x="21301" y="0"/>
                <wp:lineTo x="0" y="0"/>
              </wp:wrapPolygon>
            </wp:wrapTight>
            <wp:docPr id="8" name="Picture 6" descr="ECA Core Logo Strap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A Core Logo Strap Blue.jpg"/>
                    <pic:cNvPicPr/>
                  </pic:nvPicPr>
                  <pic:blipFill>
                    <a:blip r:embed="rId15" cstate="print"/>
                    <a:stretch>
                      <a:fillRect/>
                    </a:stretch>
                  </pic:blipFill>
                  <pic:spPr>
                    <a:xfrm>
                      <a:off x="0" y="0"/>
                      <a:ext cx="1835150" cy="1179195"/>
                    </a:xfrm>
                    <a:prstGeom prst="rect">
                      <a:avLst/>
                    </a:prstGeom>
                  </pic:spPr>
                </pic:pic>
              </a:graphicData>
            </a:graphic>
          </wp:anchor>
        </w:drawing>
      </w:r>
    </w:p>
    <w:sectPr w:rsidR="00745A83" w:rsidRPr="00C829BD" w:rsidSect="00745A83">
      <w:headerReference w:type="first" r:id="rId16"/>
      <w:pgSz w:w="11906" w:h="16838"/>
      <w:pgMar w:top="1276"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718B9" w14:textId="77777777" w:rsidR="001657A6" w:rsidRDefault="001657A6" w:rsidP="00AE469F">
      <w:pPr>
        <w:spacing w:after="0" w:line="240" w:lineRule="auto"/>
      </w:pPr>
      <w:r>
        <w:separator/>
      </w:r>
    </w:p>
  </w:endnote>
  <w:endnote w:type="continuationSeparator" w:id="0">
    <w:p w14:paraId="02957FB2" w14:textId="77777777" w:rsidR="001657A6" w:rsidRDefault="001657A6" w:rsidP="00AE4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ACA3" w14:textId="77777777" w:rsidR="00660B5F" w:rsidRDefault="00660B5F" w:rsidP="00660B5F">
    <w:pPr>
      <w:pStyle w:val="Footer"/>
      <w:jc w:val="both"/>
      <w:rPr>
        <w:rFonts w:ascii="Arial" w:hAnsi="Arial"/>
        <w:i/>
        <w:color w:val="000000"/>
        <w:sz w:val="12"/>
        <w:szCs w:val="27"/>
      </w:rPr>
    </w:pPr>
    <w:r w:rsidRPr="009D31E7">
      <w:rPr>
        <w:rFonts w:ascii="Arial" w:hAnsi="Arial"/>
        <w:i/>
        <w:color w:val="000000"/>
        <w:sz w:val="12"/>
        <w:szCs w:val="27"/>
      </w:rPr>
      <w:t>ECA wishes to identify and inform the engineering services sector and ECA Members’ decisions on what represents ‘fair, reasonable and good contractual practice’. ECA remains committed to fair and open competition and this document is not designed to in any way dictate what may be an appropriate risk allocation, or act as a substitute for ECA Members obtaining project and context specific legal advice and making their own commercial decisions</w:t>
    </w:r>
    <w:r>
      <w:rPr>
        <w:rFonts w:ascii="Arial" w:hAnsi="Arial"/>
        <w:i/>
        <w:color w:val="000000"/>
        <w:sz w:val="12"/>
        <w:szCs w:val="27"/>
      </w:rPr>
      <w:t>.</w:t>
    </w:r>
  </w:p>
  <w:p w14:paraId="6429AF32" w14:textId="77777777" w:rsidR="00BE2D04" w:rsidRDefault="00BE2D04" w:rsidP="00A77841">
    <w:pPr>
      <w:pStyle w:val="Footer"/>
      <w:jc w:val="center"/>
    </w:pPr>
    <w:r w:rsidRPr="0019412C">
      <w:rPr>
        <w:rFonts w:ascii="Arial" w:hAnsi="Arial"/>
        <w:noProof/>
        <w:sz w:val="16"/>
        <w:lang w:eastAsia="en-GB"/>
      </w:rPr>
      <w:drawing>
        <wp:anchor distT="0" distB="0" distL="114300" distR="114300" simplePos="0" relativeHeight="251649024" behindDoc="0" locked="0" layoutInCell="1" allowOverlap="1" wp14:anchorId="4BFA7DF6" wp14:editId="63BF229A">
          <wp:simplePos x="0" y="0"/>
          <wp:positionH relativeFrom="column">
            <wp:posOffset>-914400</wp:posOffset>
          </wp:positionH>
          <wp:positionV relativeFrom="page">
            <wp:posOffset>10333567</wp:posOffset>
          </wp:positionV>
          <wp:extent cx="10763593" cy="357505"/>
          <wp:effectExtent l="0" t="0" r="0" b="0"/>
          <wp:wrapSquare wrapText="bothSides"/>
          <wp:docPr id="2" name="Picture 1" descr="Technical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ical footer.png"/>
                  <pic:cNvPicPr/>
                </pic:nvPicPr>
                <pic:blipFill>
                  <a:blip r:embed="rId1"/>
                  <a:stretch>
                    <a:fillRect/>
                  </a:stretch>
                </pic:blipFill>
                <pic:spPr>
                  <a:xfrm>
                    <a:off x="0" y="0"/>
                    <a:ext cx="10763936" cy="35751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83E6C" w14:textId="77777777" w:rsidR="00BE2D04" w:rsidRDefault="00BE2D04" w:rsidP="00AC0A47">
    <w:pPr>
      <w:pStyle w:val="Footer"/>
      <w:jc w:val="both"/>
      <w:rPr>
        <w:rFonts w:ascii="Arial" w:hAnsi="Arial"/>
        <w:color w:val="000000"/>
        <w:sz w:val="16"/>
        <w:szCs w:val="27"/>
      </w:rPr>
    </w:pPr>
  </w:p>
  <w:p w14:paraId="72EF6EB4" w14:textId="77777777" w:rsidR="00BE2D04" w:rsidRDefault="00BE2D04" w:rsidP="00AC0A47">
    <w:pPr>
      <w:pStyle w:val="Footer"/>
      <w:jc w:val="both"/>
      <w:rPr>
        <w:rFonts w:ascii="Arial" w:hAnsi="Arial"/>
        <w:i/>
        <w:color w:val="000000"/>
        <w:sz w:val="12"/>
        <w:szCs w:val="27"/>
      </w:rPr>
    </w:pPr>
    <w:r w:rsidRPr="009D31E7">
      <w:rPr>
        <w:rFonts w:ascii="Arial" w:hAnsi="Arial"/>
        <w:i/>
        <w:color w:val="000000"/>
        <w:sz w:val="12"/>
        <w:szCs w:val="27"/>
      </w:rPr>
      <w:t>ECA wishes to identify and inform the engineering services sector and ECA Members’ decisions on what represents ‘fair, reasonable and good contractual practice’. ECA remains committed to fair and open competition and this document is not designed to in any way dictate what may be an appropriate risk allocation, or act as a substitute for ECA Members obtaining project and context specific legal advice and making their own commercial decisions</w:t>
    </w:r>
    <w:r>
      <w:rPr>
        <w:rFonts w:ascii="Arial" w:hAnsi="Arial"/>
        <w:i/>
        <w:color w:val="000000"/>
        <w:sz w:val="12"/>
        <w:szCs w:val="27"/>
      </w:rPr>
      <w:t>.</w:t>
    </w:r>
  </w:p>
  <w:p w14:paraId="6676D571" w14:textId="77777777" w:rsidR="00BE2D04" w:rsidRPr="00AC0A47" w:rsidRDefault="00BE2D04" w:rsidP="00AC0A47">
    <w:pPr>
      <w:pStyle w:val="Footer"/>
      <w:jc w:val="both"/>
      <w:rPr>
        <w:rFonts w:ascii="Arial" w:hAnsi="Arial"/>
        <w:sz w:val="16"/>
      </w:rPr>
    </w:pPr>
    <w:r w:rsidRPr="0019412C">
      <w:rPr>
        <w:rFonts w:ascii="Arial" w:hAnsi="Arial"/>
        <w:noProof/>
        <w:sz w:val="16"/>
        <w:lang w:eastAsia="en-GB"/>
      </w:rPr>
      <w:drawing>
        <wp:anchor distT="0" distB="0" distL="114300" distR="114300" simplePos="0" relativeHeight="251661824" behindDoc="0" locked="0" layoutInCell="1" allowOverlap="1" wp14:anchorId="76C20F13" wp14:editId="0DC9425E">
          <wp:simplePos x="0" y="0"/>
          <wp:positionH relativeFrom="column">
            <wp:posOffset>-914400</wp:posOffset>
          </wp:positionH>
          <wp:positionV relativeFrom="page">
            <wp:posOffset>10344150</wp:posOffset>
          </wp:positionV>
          <wp:extent cx="10763250" cy="344805"/>
          <wp:effectExtent l="0" t="0" r="0" b="0"/>
          <wp:wrapSquare wrapText="bothSides"/>
          <wp:docPr id="6" name="Picture 1" descr="Technical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ical footer.png"/>
                  <pic:cNvPicPr/>
                </pic:nvPicPr>
                <pic:blipFill>
                  <a:blip r:embed="rId1"/>
                  <a:stretch>
                    <a:fillRect/>
                  </a:stretch>
                </pic:blipFill>
                <pic:spPr>
                  <a:xfrm>
                    <a:off x="0" y="0"/>
                    <a:ext cx="10763250" cy="34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C877D" w14:textId="77777777" w:rsidR="001657A6" w:rsidRDefault="001657A6" w:rsidP="00AE469F">
      <w:pPr>
        <w:spacing w:after="0" w:line="240" w:lineRule="auto"/>
      </w:pPr>
      <w:r>
        <w:separator/>
      </w:r>
    </w:p>
  </w:footnote>
  <w:footnote w:type="continuationSeparator" w:id="0">
    <w:p w14:paraId="1798B461" w14:textId="77777777" w:rsidR="001657A6" w:rsidRDefault="001657A6" w:rsidP="00AE4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C1C7E" w14:textId="77777777" w:rsidR="00BE2D04" w:rsidRDefault="00BE2D04">
    <w:pPr>
      <w:pStyle w:val="Header"/>
    </w:pPr>
    <w:r w:rsidRPr="00745A83">
      <w:rPr>
        <w:noProof/>
        <w:lang w:eastAsia="en-GB"/>
      </w:rPr>
      <w:drawing>
        <wp:anchor distT="0" distB="0" distL="114300" distR="114300" simplePos="0" relativeHeight="251671552" behindDoc="0" locked="0" layoutInCell="1" allowOverlap="1" wp14:anchorId="392390C4" wp14:editId="2475884B">
          <wp:simplePos x="0" y="0"/>
          <wp:positionH relativeFrom="column">
            <wp:posOffset>-914400</wp:posOffset>
          </wp:positionH>
          <wp:positionV relativeFrom="paragraph">
            <wp:posOffset>-449580</wp:posOffset>
          </wp:positionV>
          <wp:extent cx="14658340" cy="307975"/>
          <wp:effectExtent l="0" t="0" r="0" b="0"/>
          <wp:wrapSquare wrapText="bothSides"/>
          <wp:docPr id="1" name="Picture 1" descr="Technical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ical footer.png"/>
                  <pic:cNvPicPr/>
                </pic:nvPicPr>
                <pic:blipFill>
                  <a:blip r:embed="rId1"/>
                  <a:stretch>
                    <a:fillRect/>
                  </a:stretch>
                </pic:blipFill>
                <pic:spPr>
                  <a:xfrm>
                    <a:off x="0" y="0"/>
                    <a:ext cx="14658340" cy="307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6BD6" w14:textId="77777777" w:rsidR="00BE2D04" w:rsidRDefault="00BE2D04">
    <w:pPr>
      <w:pStyle w:val="Header"/>
    </w:pPr>
    <w:r>
      <w:rPr>
        <w:noProof/>
        <w:lang w:eastAsia="en-GB"/>
      </w:rPr>
      <w:drawing>
        <wp:anchor distT="0" distB="0" distL="114300" distR="114300" simplePos="0" relativeHeight="251696128" behindDoc="1" locked="0" layoutInCell="1" allowOverlap="1" wp14:anchorId="369F5ECA" wp14:editId="1B0433FE">
          <wp:simplePos x="0" y="0"/>
          <wp:positionH relativeFrom="column">
            <wp:posOffset>-908602</wp:posOffset>
          </wp:positionH>
          <wp:positionV relativeFrom="paragraph">
            <wp:posOffset>-456206</wp:posOffset>
          </wp:positionV>
          <wp:extent cx="7643969" cy="2095721"/>
          <wp:effectExtent l="19050" t="0" r="0" b="0"/>
          <wp:wrapNone/>
          <wp:docPr id="3" name="Picture 0" descr="Technical Bulle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ical Bulletin.jpg"/>
                  <pic:cNvPicPr/>
                </pic:nvPicPr>
                <pic:blipFill>
                  <a:blip r:embed="rId1"/>
                  <a:stretch>
                    <a:fillRect/>
                  </a:stretch>
                </pic:blipFill>
                <pic:spPr>
                  <a:xfrm>
                    <a:off x="0" y="0"/>
                    <a:ext cx="7643969" cy="2095721"/>
                  </a:xfrm>
                  <a:prstGeom prst="rect">
                    <a:avLst/>
                  </a:prstGeom>
                </pic:spPr>
              </pic:pic>
            </a:graphicData>
          </a:graphic>
        </wp:anchor>
      </w:drawing>
    </w:r>
    <w:r>
      <w:rPr>
        <w:noProof/>
      </w:rPr>
      <mc:AlternateContent>
        <mc:Choice Requires="wps">
          <w:drawing>
            <wp:anchor distT="0" distB="0" distL="114300" distR="114300" simplePos="0" relativeHeight="251675648" behindDoc="0" locked="0" layoutInCell="1" allowOverlap="1" wp14:anchorId="0B4B4B21" wp14:editId="628DD8C6">
              <wp:simplePos x="0" y="0"/>
              <wp:positionH relativeFrom="column">
                <wp:posOffset>2279650</wp:posOffset>
              </wp:positionH>
              <wp:positionV relativeFrom="paragraph">
                <wp:posOffset>848360</wp:posOffset>
              </wp:positionV>
              <wp:extent cx="3851910" cy="40513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40513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236BF22D" w14:textId="77777777" w:rsidR="00BE2D04" w:rsidRPr="00CE2F8B" w:rsidRDefault="00660B5F" w:rsidP="00CE2F8B">
                          <w:pPr>
                            <w:shd w:val="clear" w:color="auto" w:fill="4F81BD" w:themeFill="accent1"/>
                            <w:jc w:val="right"/>
                            <w:rPr>
                              <w:rFonts w:ascii="Arial" w:hAnsi="Arial" w:cs="Arial"/>
                              <w:b/>
                              <w:color w:val="FFFFFF" w:themeColor="background1"/>
                              <w:sz w:val="32"/>
                            </w:rPr>
                          </w:pPr>
                          <w:r>
                            <w:rPr>
                              <w:rFonts w:ascii="Arial" w:hAnsi="Arial" w:cs="Arial"/>
                              <w:b/>
                              <w:color w:val="FFFFFF" w:themeColor="background1"/>
                              <w:sz w:val="28"/>
                            </w:rPr>
                            <w:t>VAT Reverse Charge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4B4B21" id="_x0000_t202" coordsize="21600,21600" o:spt="202" path="m,l,21600r21600,l21600,xe">
              <v:stroke joinstyle="miter"/>
              <v:path gradientshapeok="t" o:connecttype="rect"/>
            </v:shapetype>
            <v:shape id="Text Box 2" o:spid="_x0000_s1029" type="#_x0000_t202" style="position:absolute;margin-left:179.5pt;margin-top:66.8pt;width:303.3pt;height:3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" stroked="f" strokecolor="black [3213]">
              <v:textbox>
                <w:txbxContent>
                  <w:p w14:paraId="236BF22D" w14:textId="77777777" w:rsidR="00BE2D04" w:rsidRPr="00CE2F8B" w:rsidRDefault="00660B5F" w:rsidP="00CE2F8B">
                    <w:pPr>
                      <w:shd w:val="clear" w:color="auto" w:fill="4F81BD" w:themeFill="accent1"/>
                      <w:jc w:val="right"/>
                      <w:rPr>
                        <w:rFonts w:ascii="Arial" w:hAnsi="Arial" w:cs="Arial"/>
                        <w:b/>
                        <w:color w:val="FFFFFF" w:themeColor="background1"/>
                        <w:sz w:val="32"/>
                      </w:rPr>
                    </w:pPr>
                    <w:r>
                      <w:rPr>
                        <w:rFonts w:ascii="Arial" w:hAnsi="Arial" w:cs="Arial"/>
                        <w:b/>
                        <w:color w:val="FFFFFF" w:themeColor="background1"/>
                        <w:sz w:val="28"/>
                      </w:rPr>
                      <w:t>VAT Reverse Charge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9471D" w14:textId="77777777" w:rsidR="00BE2D04" w:rsidRDefault="00BE2D04">
    <w:pPr>
      <w:pStyle w:val="Header"/>
    </w:pPr>
    <w:r w:rsidRPr="00B7766C">
      <w:rPr>
        <w:noProof/>
        <w:lang w:eastAsia="en-GB"/>
      </w:rPr>
      <w:drawing>
        <wp:anchor distT="0" distB="0" distL="114300" distR="114300" simplePos="0" relativeHeight="251657728" behindDoc="0" locked="0" layoutInCell="1" allowOverlap="1" wp14:anchorId="7D03CA5D" wp14:editId="15775729">
          <wp:simplePos x="0" y="0"/>
          <wp:positionH relativeFrom="column">
            <wp:posOffset>-940435</wp:posOffset>
          </wp:positionH>
          <wp:positionV relativeFrom="paragraph">
            <wp:posOffset>-475615</wp:posOffset>
          </wp:positionV>
          <wp:extent cx="7809865" cy="317500"/>
          <wp:effectExtent l="19050" t="0" r="635" b="0"/>
          <wp:wrapSquare wrapText="bothSides"/>
          <wp:docPr id="12" name="Picture 1" descr="Technical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ical footer.png"/>
                  <pic:cNvPicPr/>
                </pic:nvPicPr>
                <pic:blipFill>
                  <a:blip r:embed="rId1"/>
                  <a:stretch>
                    <a:fillRect/>
                  </a:stretch>
                </pic:blipFill>
                <pic:spPr>
                  <a:xfrm>
                    <a:off x="0" y="0"/>
                    <a:ext cx="7809865" cy="317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536"/>
    <w:multiLevelType w:val="hybridMultilevel"/>
    <w:tmpl w:val="BFFA7FB6"/>
    <w:lvl w:ilvl="0" w:tplc="D2A48212">
      <w:numFmt w:val="bullet"/>
      <w:lvlText w:val="•"/>
      <w:lvlJc w:val="left"/>
      <w:pPr>
        <w:ind w:left="567" w:hanging="236"/>
      </w:pPr>
      <w:rPr>
        <w:rFonts w:ascii="Times New Roman" w:eastAsia="Times New Roman" w:hAnsi="Times New Roman" w:cs="Times New Roman" w:hint="default"/>
        <w:color w:val="282828"/>
        <w:w w:val="104"/>
        <w:sz w:val="20"/>
        <w:szCs w:val="20"/>
      </w:rPr>
    </w:lvl>
    <w:lvl w:ilvl="1" w:tplc="95F8B740">
      <w:numFmt w:val="bullet"/>
      <w:lvlText w:val="•"/>
      <w:lvlJc w:val="left"/>
      <w:pPr>
        <w:ind w:left="963" w:hanging="236"/>
      </w:pPr>
      <w:rPr>
        <w:rFonts w:hint="default"/>
      </w:rPr>
    </w:lvl>
    <w:lvl w:ilvl="2" w:tplc="8BC8E240">
      <w:numFmt w:val="bullet"/>
      <w:lvlText w:val="•"/>
      <w:lvlJc w:val="left"/>
      <w:pPr>
        <w:ind w:left="1366" w:hanging="236"/>
      </w:pPr>
      <w:rPr>
        <w:rFonts w:hint="default"/>
      </w:rPr>
    </w:lvl>
    <w:lvl w:ilvl="3" w:tplc="6CF0C124">
      <w:numFmt w:val="bullet"/>
      <w:lvlText w:val="•"/>
      <w:lvlJc w:val="left"/>
      <w:pPr>
        <w:ind w:left="1769" w:hanging="236"/>
      </w:pPr>
      <w:rPr>
        <w:rFonts w:hint="default"/>
      </w:rPr>
    </w:lvl>
    <w:lvl w:ilvl="4" w:tplc="0276A884">
      <w:numFmt w:val="bullet"/>
      <w:lvlText w:val="•"/>
      <w:lvlJc w:val="left"/>
      <w:pPr>
        <w:ind w:left="2172" w:hanging="236"/>
      </w:pPr>
      <w:rPr>
        <w:rFonts w:hint="default"/>
      </w:rPr>
    </w:lvl>
    <w:lvl w:ilvl="5" w:tplc="66AEA5C8">
      <w:numFmt w:val="bullet"/>
      <w:lvlText w:val="•"/>
      <w:lvlJc w:val="left"/>
      <w:pPr>
        <w:ind w:left="2575" w:hanging="236"/>
      </w:pPr>
      <w:rPr>
        <w:rFonts w:hint="default"/>
      </w:rPr>
    </w:lvl>
    <w:lvl w:ilvl="6" w:tplc="788AD022">
      <w:numFmt w:val="bullet"/>
      <w:lvlText w:val="•"/>
      <w:lvlJc w:val="left"/>
      <w:pPr>
        <w:ind w:left="2978" w:hanging="236"/>
      </w:pPr>
      <w:rPr>
        <w:rFonts w:hint="default"/>
      </w:rPr>
    </w:lvl>
    <w:lvl w:ilvl="7" w:tplc="2C4CBDD4">
      <w:numFmt w:val="bullet"/>
      <w:lvlText w:val="•"/>
      <w:lvlJc w:val="left"/>
      <w:pPr>
        <w:ind w:left="3381" w:hanging="236"/>
      </w:pPr>
      <w:rPr>
        <w:rFonts w:hint="default"/>
      </w:rPr>
    </w:lvl>
    <w:lvl w:ilvl="8" w:tplc="FBCC6C8A">
      <w:numFmt w:val="bullet"/>
      <w:lvlText w:val="•"/>
      <w:lvlJc w:val="left"/>
      <w:pPr>
        <w:ind w:left="3784" w:hanging="236"/>
      </w:pPr>
      <w:rPr>
        <w:rFonts w:hint="default"/>
      </w:rPr>
    </w:lvl>
  </w:abstractNum>
  <w:abstractNum w:abstractNumId="1" w15:restartNumberingAfterBreak="0">
    <w:nsid w:val="071C6F16"/>
    <w:multiLevelType w:val="hybridMultilevel"/>
    <w:tmpl w:val="CC2667B8"/>
    <w:lvl w:ilvl="0" w:tplc="1804C518">
      <w:start w:val="1"/>
      <w:numFmt w:val="bullet"/>
      <w:lvlText w:val=""/>
      <w:lvlJc w:val="left"/>
      <w:pPr>
        <w:ind w:left="1077" w:hanging="360"/>
      </w:pPr>
      <w:rPr>
        <w:rFonts w:ascii="Symbol" w:hAnsi="Symbol" w:hint="default"/>
        <w:b/>
        <w:i w:val="0"/>
        <w:color w:val="4F81BD" w:themeColor="accent1"/>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0E96E3A"/>
    <w:multiLevelType w:val="hybridMultilevel"/>
    <w:tmpl w:val="4E4E99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D4FE6"/>
    <w:multiLevelType w:val="hybridMultilevel"/>
    <w:tmpl w:val="0214F856"/>
    <w:lvl w:ilvl="0" w:tplc="B1C0C7F0">
      <w:start w:val="1"/>
      <w:numFmt w:val="lowerLetter"/>
      <w:lvlText w:val="%1)"/>
      <w:lvlJc w:val="left"/>
      <w:pPr>
        <w:ind w:left="431" w:hanging="212"/>
      </w:pPr>
      <w:rPr>
        <w:rFonts w:ascii="Arial" w:eastAsiaTheme="minorHAnsi" w:hAnsi="Arial" w:cstheme="minorBidi"/>
        <w:w w:val="100"/>
        <w:sz w:val="22"/>
        <w:szCs w:val="22"/>
        <w:lang w:val="en-GB" w:eastAsia="en-GB" w:bidi="en-GB"/>
      </w:rPr>
    </w:lvl>
    <w:lvl w:ilvl="1" w:tplc="A5B21CE0">
      <w:numFmt w:val="bullet"/>
      <w:lvlText w:val="•"/>
      <w:lvlJc w:val="left"/>
      <w:pPr>
        <w:ind w:left="1402" w:hanging="212"/>
      </w:pPr>
      <w:rPr>
        <w:rFonts w:hint="default"/>
        <w:lang w:val="en-GB" w:eastAsia="en-GB" w:bidi="en-GB"/>
      </w:rPr>
    </w:lvl>
    <w:lvl w:ilvl="2" w:tplc="20A0F546">
      <w:numFmt w:val="bullet"/>
      <w:lvlText w:val="•"/>
      <w:lvlJc w:val="left"/>
      <w:pPr>
        <w:ind w:left="2365" w:hanging="212"/>
      </w:pPr>
      <w:rPr>
        <w:rFonts w:hint="default"/>
        <w:lang w:val="en-GB" w:eastAsia="en-GB" w:bidi="en-GB"/>
      </w:rPr>
    </w:lvl>
    <w:lvl w:ilvl="3" w:tplc="3162E35E">
      <w:numFmt w:val="bullet"/>
      <w:lvlText w:val="•"/>
      <w:lvlJc w:val="left"/>
      <w:pPr>
        <w:ind w:left="3327" w:hanging="212"/>
      </w:pPr>
      <w:rPr>
        <w:rFonts w:hint="default"/>
        <w:lang w:val="en-GB" w:eastAsia="en-GB" w:bidi="en-GB"/>
      </w:rPr>
    </w:lvl>
    <w:lvl w:ilvl="4" w:tplc="374836EE">
      <w:numFmt w:val="bullet"/>
      <w:lvlText w:val="•"/>
      <w:lvlJc w:val="left"/>
      <w:pPr>
        <w:ind w:left="4290" w:hanging="212"/>
      </w:pPr>
      <w:rPr>
        <w:rFonts w:hint="default"/>
        <w:lang w:val="en-GB" w:eastAsia="en-GB" w:bidi="en-GB"/>
      </w:rPr>
    </w:lvl>
    <w:lvl w:ilvl="5" w:tplc="9E4A12A4">
      <w:numFmt w:val="bullet"/>
      <w:lvlText w:val="•"/>
      <w:lvlJc w:val="left"/>
      <w:pPr>
        <w:ind w:left="5253" w:hanging="212"/>
      </w:pPr>
      <w:rPr>
        <w:rFonts w:hint="default"/>
        <w:lang w:val="en-GB" w:eastAsia="en-GB" w:bidi="en-GB"/>
      </w:rPr>
    </w:lvl>
    <w:lvl w:ilvl="6" w:tplc="6C2681F0">
      <w:numFmt w:val="bullet"/>
      <w:lvlText w:val="•"/>
      <w:lvlJc w:val="left"/>
      <w:pPr>
        <w:ind w:left="6215" w:hanging="212"/>
      </w:pPr>
      <w:rPr>
        <w:rFonts w:hint="default"/>
        <w:lang w:val="en-GB" w:eastAsia="en-GB" w:bidi="en-GB"/>
      </w:rPr>
    </w:lvl>
    <w:lvl w:ilvl="7" w:tplc="34E22450">
      <w:numFmt w:val="bullet"/>
      <w:lvlText w:val="•"/>
      <w:lvlJc w:val="left"/>
      <w:pPr>
        <w:ind w:left="7178" w:hanging="212"/>
      </w:pPr>
      <w:rPr>
        <w:rFonts w:hint="default"/>
        <w:lang w:val="en-GB" w:eastAsia="en-GB" w:bidi="en-GB"/>
      </w:rPr>
    </w:lvl>
    <w:lvl w:ilvl="8" w:tplc="9D02FBFE">
      <w:numFmt w:val="bullet"/>
      <w:lvlText w:val="•"/>
      <w:lvlJc w:val="left"/>
      <w:pPr>
        <w:ind w:left="8141" w:hanging="212"/>
      </w:pPr>
      <w:rPr>
        <w:rFonts w:hint="default"/>
        <w:lang w:val="en-GB" w:eastAsia="en-GB" w:bidi="en-GB"/>
      </w:rPr>
    </w:lvl>
  </w:abstractNum>
  <w:abstractNum w:abstractNumId="4" w15:restartNumberingAfterBreak="0">
    <w:nsid w:val="1B071B91"/>
    <w:multiLevelType w:val="hybridMultilevel"/>
    <w:tmpl w:val="04F2F2CE"/>
    <w:lvl w:ilvl="0" w:tplc="4EF69B8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B2B19"/>
    <w:multiLevelType w:val="hybridMultilevel"/>
    <w:tmpl w:val="2EE213C2"/>
    <w:lvl w:ilvl="0" w:tplc="5C7ED8C2">
      <w:numFmt w:val="bullet"/>
      <w:lvlText w:val="•"/>
      <w:lvlJc w:val="left"/>
      <w:pPr>
        <w:ind w:left="431" w:hanging="235"/>
      </w:pPr>
      <w:rPr>
        <w:rFonts w:ascii="Times New Roman" w:eastAsia="Times New Roman" w:hAnsi="Times New Roman" w:cs="Times New Roman" w:hint="default"/>
        <w:color w:val="282828"/>
        <w:w w:val="109"/>
        <w:sz w:val="20"/>
        <w:szCs w:val="20"/>
      </w:rPr>
    </w:lvl>
    <w:lvl w:ilvl="1" w:tplc="26B440B8">
      <w:start w:val="1"/>
      <w:numFmt w:val="lowerLetter"/>
      <w:lvlText w:val="(%2)"/>
      <w:lvlJc w:val="left"/>
      <w:pPr>
        <w:ind w:left="431" w:hanging="271"/>
        <w:jc w:val="right"/>
      </w:pPr>
      <w:rPr>
        <w:rFonts w:hint="default"/>
        <w:spacing w:val="-1"/>
        <w:w w:val="101"/>
      </w:rPr>
    </w:lvl>
    <w:lvl w:ilvl="2" w:tplc="56D6B950">
      <w:numFmt w:val="bullet"/>
      <w:lvlText w:val="•"/>
      <w:lvlJc w:val="left"/>
      <w:pPr>
        <w:ind w:left="1282" w:hanging="271"/>
      </w:pPr>
      <w:rPr>
        <w:rFonts w:hint="default"/>
      </w:rPr>
    </w:lvl>
    <w:lvl w:ilvl="3" w:tplc="ADB8EA20">
      <w:numFmt w:val="bullet"/>
      <w:lvlText w:val="•"/>
      <w:lvlJc w:val="left"/>
      <w:pPr>
        <w:ind w:left="1703" w:hanging="271"/>
      </w:pPr>
      <w:rPr>
        <w:rFonts w:hint="default"/>
      </w:rPr>
    </w:lvl>
    <w:lvl w:ilvl="4" w:tplc="8FF09270">
      <w:numFmt w:val="bullet"/>
      <w:lvlText w:val="•"/>
      <w:lvlJc w:val="left"/>
      <w:pPr>
        <w:ind w:left="2125" w:hanging="271"/>
      </w:pPr>
      <w:rPr>
        <w:rFonts w:hint="default"/>
      </w:rPr>
    </w:lvl>
    <w:lvl w:ilvl="5" w:tplc="40FEC61E">
      <w:numFmt w:val="bullet"/>
      <w:lvlText w:val="•"/>
      <w:lvlJc w:val="left"/>
      <w:pPr>
        <w:ind w:left="2546" w:hanging="271"/>
      </w:pPr>
      <w:rPr>
        <w:rFonts w:hint="default"/>
      </w:rPr>
    </w:lvl>
    <w:lvl w:ilvl="6" w:tplc="EF38CD86">
      <w:numFmt w:val="bullet"/>
      <w:lvlText w:val="•"/>
      <w:lvlJc w:val="left"/>
      <w:pPr>
        <w:ind w:left="2967" w:hanging="271"/>
      </w:pPr>
      <w:rPr>
        <w:rFonts w:hint="default"/>
      </w:rPr>
    </w:lvl>
    <w:lvl w:ilvl="7" w:tplc="11BCE168">
      <w:numFmt w:val="bullet"/>
      <w:lvlText w:val="•"/>
      <w:lvlJc w:val="left"/>
      <w:pPr>
        <w:ind w:left="3389" w:hanging="271"/>
      </w:pPr>
      <w:rPr>
        <w:rFonts w:hint="default"/>
      </w:rPr>
    </w:lvl>
    <w:lvl w:ilvl="8" w:tplc="11F41104">
      <w:numFmt w:val="bullet"/>
      <w:lvlText w:val="•"/>
      <w:lvlJc w:val="left"/>
      <w:pPr>
        <w:ind w:left="3810" w:hanging="271"/>
      </w:pPr>
      <w:rPr>
        <w:rFonts w:hint="default"/>
      </w:rPr>
    </w:lvl>
  </w:abstractNum>
  <w:abstractNum w:abstractNumId="6" w15:restartNumberingAfterBreak="0">
    <w:nsid w:val="2B09316F"/>
    <w:multiLevelType w:val="hybridMultilevel"/>
    <w:tmpl w:val="332441E0"/>
    <w:lvl w:ilvl="0" w:tplc="853CD29A">
      <w:start w:val="1"/>
      <w:numFmt w:val="bullet"/>
      <w:lvlText w:val=""/>
      <w:lvlJc w:val="left"/>
      <w:pPr>
        <w:ind w:left="1077" w:hanging="360"/>
      </w:pPr>
      <w:rPr>
        <w:rFonts w:ascii="Symbol" w:hAnsi="Symbol" w:hint="default"/>
        <w:b/>
        <w:color w:val="4F81BD" w:themeColor="accent1"/>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F0513C7"/>
    <w:multiLevelType w:val="hybridMultilevel"/>
    <w:tmpl w:val="4F6C5402"/>
    <w:lvl w:ilvl="0" w:tplc="329E4EC0">
      <w:start w:val="1"/>
      <w:numFmt w:val="bullet"/>
      <w:lvlText w:val=""/>
      <w:lvlJc w:val="left"/>
      <w:pPr>
        <w:ind w:left="720" w:hanging="360"/>
      </w:pPr>
      <w:rPr>
        <w:rFonts w:ascii="Symbol" w:hAnsi="Symbol" w:hint="default"/>
        <w:b/>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F631C"/>
    <w:multiLevelType w:val="hybridMultilevel"/>
    <w:tmpl w:val="C930F1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860718C"/>
    <w:multiLevelType w:val="hybridMultilevel"/>
    <w:tmpl w:val="931283A8"/>
    <w:lvl w:ilvl="0" w:tplc="51F22E04">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F7EDD"/>
    <w:multiLevelType w:val="hybridMultilevel"/>
    <w:tmpl w:val="5BFE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37B11"/>
    <w:multiLevelType w:val="hybridMultilevel"/>
    <w:tmpl w:val="91EC6E68"/>
    <w:lvl w:ilvl="0" w:tplc="1804C518">
      <w:start w:val="1"/>
      <w:numFmt w:val="bullet"/>
      <w:lvlText w:val=""/>
      <w:lvlJc w:val="left"/>
      <w:pPr>
        <w:ind w:left="720" w:hanging="360"/>
      </w:pPr>
      <w:rPr>
        <w:rFonts w:ascii="Symbol" w:hAnsi="Symbol" w:hint="default"/>
        <w:b/>
        <w:i w:val="0"/>
        <w:color w:val="4F81BD" w:themeColor="accent1"/>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338AF"/>
    <w:multiLevelType w:val="hybridMultilevel"/>
    <w:tmpl w:val="DEA06576"/>
    <w:lvl w:ilvl="0" w:tplc="FDA41326">
      <w:start w:val="1"/>
      <w:numFmt w:val="bullet"/>
      <w:lvlText w:val=""/>
      <w:lvlJc w:val="left"/>
      <w:pPr>
        <w:ind w:left="720" w:hanging="360"/>
      </w:pPr>
      <w:rPr>
        <w:rFonts w:ascii="Symbol" w:hAnsi="Symbol" w:hint="default"/>
        <w:b/>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0647D"/>
    <w:multiLevelType w:val="hybridMultilevel"/>
    <w:tmpl w:val="17B00980"/>
    <w:lvl w:ilvl="0" w:tplc="C3DEA2BA">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222E54"/>
    <w:multiLevelType w:val="hybridMultilevel"/>
    <w:tmpl w:val="A1ACC488"/>
    <w:lvl w:ilvl="0" w:tplc="2FD451DA">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335B3E"/>
    <w:multiLevelType w:val="hybridMultilevel"/>
    <w:tmpl w:val="3D3EE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F83B40"/>
    <w:multiLevelType w:val="hybridMultilevel"/>
    <w:tmpl w:val="E6D070E0"/>
    <w:lvl w:ilvl="0" w:tplc="9D461E72">
      <w:start w:val="1"/>
      <w:numFmt w:val="bullet"/>
      <w:lvlText w:val=""/>
      <w:lvlJc w:val="left"/>
      <w:pPr>
        <w:ind w:left="720" w:hanging="360"/>
      </w:pPr>
      <w:rPr>
        <w:rFonts w:ascii="Symbol" w:hAnsi="Symbol" w:hint="default"/>
        <w:b/>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25258A"/>
    <w:multiLevelType w:val="hybridMultilevel"/>
    <w:tmpl w:val="A802B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CB4D80"/>
    <w:multiLevelType w:val="hybridMultilevel"/>
    <w:tmpl w:val="DBEA50C4"/>
    <w:lvl w:ilvl="0" w:tplc="DE564BA6">
      <w:start w:val="1"/>
      <w:numFmt w:val="lowerLetter"/>
      <w:lvlText w:val="%1)"/>
      <w:lvlJc w:val="left"/>
      <w:pPr>
        <w:ind w:left="780" w:hanging="212"/>
      </w:pPr>
      <w:rPr>
        <w:rFonts w:ascii="Arial" w:eastAsiaTheme="minorHAnsi" w:hAnsi="Arial" w:cstheme="minorBidi"/>
        <w:w w:val="100"/>
        <w:sz w:val="22"/>
        <w:szCs w:val="22"/>
        <w:lang w:val="en-GB" w:eastAsia="en-GB" w:bidi="en-GB"/>
      </w:rPr>
    </w:lvl>
    <w:lvl w:ilvl="1" w:tplc="BE463308">
      <w:numFmt w:val="bullet"/>
      <w:lvlText w:val="•"/>
      <w:lvlJc w:val="left"/>
      <w:pPr>
        <w:ind w:left="1204" w:hanging="212"/>
      </w:pPr>
      <w:rPr>
        <w:rFonts w:hint="default"/>
        <w:lang w:val="en-GB" w:eastAsia="en-GB" w:bidi="en-GB"/>
      </w:rPr>
    </w:lvl>
    <w:lvl w:ilvl="2" w:tplc="29FC354A">
      <w:numFmt w:val="bullet"/>
      <w:lvlText w:val="•"/>
      <w:lvlJc w:val="left"/>
      <w:pPr>
        <w:ind w:left="2189" w:hanging="212"/>
      </w:pPr>
      <w:rPr>
        <w:rFonts w:hint="default"/>
        <w:lang w:val="en-GB" w:eastAsia="en-GB" w:bidi="en-GB"/>
      </w:rPr>
    </w:lvl>
    <w:lvl w:ilvl="3" w:tplc="E850F182">
      <w:numFmt w:val="bullet"/>
      <w:lvlText w:val="•"/>
      <w:lvlJc w:val="left"/>
      <w:pPr>
        <w:ind w:left="3173" w:hanging="212"/>
      </w:pPr>
      <w:rPr>
        <w:rFonts w:hint="default"/>
        <w:lang w:val="en-GB" w:eastAsia="en-GB" w:bidi="en-GB"/>
      </w:rPr>
    </w:lvl>
    <w:lvl w:ilvl="4" w:tplc="CD9C5D7A">
      <w:numFmt w:val="bullet"/>
      <w:lvlText w:val="•"/>
      <w:lvlJc w:val="left"/>
      <w:pPr>
        <w:ind w:left="4158" w:hanging="212"/>
      </w:pPr>
      <w:rPr>
        <w:rFonts w:hint="default"/>
        <w:lang w:val="en-GB" w:eastAsia="en-GB" w:bidi="en-GB"/>
      </w:rPr>
    </w:lvl>
    <w:lvl w:ilvl="5" w:tplc="764CB5C4">
      <w:numFmt w:val="bullet"/>
      <w:lvlText w:val="•"/>
      <w:lvlJc w:val="left"/>
      <w:pPr>
        <w:ind w:left="5143" w:hanging="212"/>
      </w:pPr>
      <w:rPr>
        <w:rFonts w:hint="default"/>
        <w:lang w:val="en-GB" w:eastAsia="en-GB" w:bidi="en-GB"/>
      </w:rPr>
    </w:lvl>
    <w:lvl w:ilvl="6" w:tplc="990AACFC">
      <w:numFmt w:val="bullet"/>
      <w:lvlText w:val="•"/>
      <w:lvlJc w:val="left"/>
      <w:pPr>
        <w:ind w:left="6127" w:hanging="212"/>
      </w:pPr>
      <w:rPr>
        <w:rFonts w:hint="default"/>
        <w:lang w:val="en-GB" w:eastAsia="en-GB" w:bidi="en-GB"/>
      </w:rPr>
    </w:lvl>
    <w:lvl w:ilvl="7" w:tplc="DB562B64">
      <w:numFmt w:val="bullet"/>
      <w:lvlText w:val="•"/>
      <w:lvlJc w:val="left"/>
      <w:pPr>
        <w:ind w:left="7112" w:hanging="212"/>
      </w:pPr>
      <w:rPr>
        <w:rFonts w:hint="default"/>
        <w:lang w:val="en-GB" w:eastAsia="en-GB" w:bidi="en-GB"/>
      </w:rPr>
    </w:lvl>
    <w:lvl w:ilvl="8" w:tplc="E370F17E">
      <w:numFmt w:val="bullet"/>
      <w:lvlText w:val="•"/>
      <w:lvlJc w:val="left"/>
      <w:pPr>
        <w:ind w:left="8097" w:hanging="212"/>
      </w:pPr>
      <w:rPr>
        <w:rFonts w:hint="default"/>
        <w:lang w:val="en-GB" w:eastAsia="en-GB" w:bidi="en-GB"/>
      </w:rPr>
    </w:lvl>
  </w:abstractNum>
  <w:abstractNum w:abstractNumId="19" w15:restartNumberingAfterBreak="0">
    <w:nsid w:val="6DA81860"/>
    <w:multiLevelType w:val="hybridMultilevel"/>
    <w:tmpl w:val="D86423DE"/>
    <w:lvl w:ilvl="0" w:tplc="192ACF8C">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72C96797"/>
    <w:multiLevelType w:val="hybridMultilevel"/>
    <w:tmpl w:val="A802B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D5188A"/>
    <w:multiLevelType w:val="hybridMultilevel"/>
    <w:tmpl w:val="9796DE00"/>
    <w:lvl w:ilvl="0" w:tplc="6248CDB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9F64EA"/>
    <w:multiLevelType w:val="hybridMultilevel"/>
    <w:tmpl w:val="2932D504"/>
    <w:lvl w:ilvl="0" w:tplc="05C6E91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77D4510"/>
    <w:multiLevelType w:val="hybridMultilevel"/>
    <w:tmpl w:val="58B232E4"/>
    <w:lvl w:ilvl="0" w:tplc="A83EF048">
      <w:numFmt w:val="bullet"/>
      <w:lvlText w:val="•"/>
      <w:lvlJc w:val="left"/>
      <w:pPr>
        <w:ind w:left="327" w:hanging="228"/>
      </w:pPr>
      <w:rPr>
        <w:rFonts w:ascii="Times New Roman" w:eastAsia="Times New Roman" w:hAnsi="Times New Roman" w:cs="Times New Roman" w:hint="default"/>
        <w:color w:val="282828"/>
        <w:w w:val="105"/>
        <w:sz w:val="19"/>
        <w:szCs w:val="19"/>
      </w:rPr>
    </w:lvl>
    <w:lvl w:ilvl="1" w:tplc="846206EE">
      <w:numFmt w:val="bullet"/>
      <w:lvlText w:val="•"/>
      <w:lvlJc w:val="left"/>
      <w:pPr>
        <w:ind w:left="728" w:hanging="228"/>
      </w:pPr>
      <w:rPr>
        <w:rFonts w:hint="default"/>
      </w:rPr>
    </w:lvl>
    <w:lvl w:ilvl="2" w:tplc="3AEA98A4">
      <w:numFmt w:val="bullet"/>
      <w:lvlText w:val="•"/>
      <w:lvlJc w:val="left"/>
      <w:pPr>
        <w:ind w:left="1137" w:hanging="228"/>
      </w:pPr>
      <w:rPr>
        <w:rFonts w:hint="default"/>
      </w:rPr>
    </w:lvl>
    <w:lvl w:ilvl="3" w:tplc="67F49308">
      <w:numFmt w:val="bullet"/>
      <w:lvlText w:val="•"/>
      <w:lvlJc w:val="left"/>
      <w:pPr>
        <w:ind w:left="1546" w:hanging="228"/>
      </w:pPr>
      <w:rPr>
        <w:rFonts w:hint="default"/>
      </w:rPr>
    </w:lvl>
    <w:lvl w:ilvl="4" w:tplc="0CF6B632">
      <w:numFmt w:val="bullet"/>
      <w:lvlText w:val="•"/>
      <w:lvlJc w:val="left"/>
      <w:pPr>
        <w:ind w:left="1954" w:hanging="228"/>
      </w:pPr>
      <w:rPr>
        <w:rFonts w:hint="default"/>
      </w:rPr>
    </w:lvl>
    <w:lvl w:ilvl="5" w:tplc="19B6D020">
      <w:numFmt w:val="bullet"/>
      <w:lvlText w:val="•"/>
      <w:lvlJc w:val="left"/>
      <w:pPr>
        <w:ind w:left="2363" w:hanging="228"/>
      </w:pPr>
      <w:rPr>
        <w:rFonts w:hint="default"/>
      </w:rPr>
    </w:lvl>
    <w:lvl w:ilvl="6" w:tplc="D2966906">
      <w:numFmt w:val="bullet"/>
      <w:lvlText w:val="•"/>
      <w:lvlJc w:val="left"/>
      <w:pPr>
        <w:ind w:left="2772" w:hanging="228"/>
      </w:pPr>
      <w:rPr>
        <w:rFonts w:hint="default"/>
      </w:rPr>
    </w:lvl>
    <w:lvl w:ilvl="7" w:tplc="6AC0A324">
      <w:numFmt w:val="bullet"/>
      <w:lvlText w:val="•"/>
      <w:lvlJc w:val="left"/>
      <w:pPr>
        <w:ind w:left="3181" w:hanging="228"/>
      </w:pPr>
      <w:rPr>
        <w:rFonts w:hint="default"/>
      </w:rPr>
    </w:lvl>
    <w:lvl w:ilvl="8" w:tplc="4A4CDA74">
      <w:numFmt w:val="bullet"/>
      <w:lvlText w:val="•"/>
      <w:lvlJc w:val="left"/>
      <w:pPr>
        <w:ind w:left="3589" w:hanging="228"/>
      </w:pPr>
      <w:rPr>
        <w:rFonts w:hint="default"/>
      </w:rPr>
    </w:lvl>
  </w:abstractNum>
  <w:abstractNum w:abstractNumId="24" w15:restartNumberingAfterBreak="0">
    <w:nsid w:val="7B9A1B78"/>
    <w:multiLevelType w:val="hybridMultilevel"/>
    <w:tmpl w:val="9ACE52DE"/>
    <w:lvl w:ilvl="0" w:tplc="7FB6F2AE">
      <w:start w:val="1"/>
      <w:numFmt w:val="bullet"/>
      <w:lvlText w:val=""/>
      <w:lvlJc w:val="left"/>
      <w:pPr>
        <w:ind w:left="1077" w:hanging="360"/>
      </w:pPr>
      <w:rPr>
        <w:rFonts w:ascii="Symbol" w:hAnsi="Symbol" w:hint="default"/>
        <w:b/>
        <w:color w:val="4F81BD" w:themeColor="accent1"/>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7DFC0A0E"/>
    <w:multiLevelType w:val="hybridMultilevel"/>
    <w:tmpl w:val="348A247C"/>
    <w:lvl w:ilvl="0" w:tplc="09E27A2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0"/>
  </w:num>
  <w:num w:numId="3">
    <w:abstractNumId w:val="17"/>
  </w:num>
  <w:num w:numId="4">
    <w:abstractNumId w:val="19"/>
  </w:num>
  <w:num w:numId="5">
    <w:abstractNumId w:val="25"/>
  </w:num>
  <w:num w:numId="6">
    <w:abstractNumId w:val="8"/>
  </w:num>
  <w:num w:numId="7">
    <w:abstractNumId w:val="2"/>
  </w:num>
  <w:num w:numId="8">
    <w:abstractNumId w:val="1"/>
  </w:num>
  <w:num w:numId="9">
    <w:abstractNumId w:val="0"/>
  </w:num>
  <w:num w:numId="10">
    <w:abstractNumId w:val="5"/>
  </w:num>
  <w:num w:numId="11">
    <w:abstractNumId w:val="23"/>
  </w:num>
  <w:num w:numId="12">
    <w:abstractNumId w:val="22"/>
  </w:num>
  <w:num w:numId="13">
    <w:abstractNumId w:val="7"/>
  </w:num>
  <w:num w:numId="14">
    <w:abstractNumId w:val="24"/>
  </w:num>
  <w:num w:numId="15">
    <w:abstractNumId w:val="12"/>
  </w:num>
  <w:num w:numId="16">
    <w:abstractNumId w:val="6"/>
  </w:num>
  <w:num w:numId="17">
    <w:abstractNumId w:val="16"/>
  </w:num>
  <w:num w:numId="18">
    <w:abstractNumId w:val="13"/>
  </w:num>
  <w:num w:numId="19">
    <w:abstractNumId w:val="9"/>
  </w:num>
  <w:num w:numId="20">
    <w:abstractNumId w:val="14"/>
  </w:num>
  <w:num w:numId="21">
    <w:abstractNumId w:val="21"/>
  </w:num>
  <w:num w:numId="22">
    <w:abstractNumId w:val="4"/>
  </w:num>
  <w:num w:numId="23">
    <w:abstractNumId w:val="3"/>
  </w:num>
  <w:num w:numId="24">
    <w:abstractNumId w:val="18"/>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9F"/>
    <w:rsid w:val="0000396E"/>
    <w:rsid w:val="0002390D"/>
    <w:rsid w:val="000301C8"/>
    <w:rsid w:val="00056FFC"/>
    <w:rsid w:val="000648A3"/>
    <w:rsid w:val="000662D0"/>
    <w:rsid w:val="000760A7"/>
    <w:rsid w:val="00077374"/>
    <w:rsid w:val="00097A91"/>
    <w:rsid w:val="000A05CF"/>
    <w:rsid w:val="000A31B8"/>
    <w:rsid w:val="000C113E"/>
    <w:rsid w:val="000D3182"/>
    <w:rsid w:val="000E0D08"/>
    <w:rsid w:val="000E1BFB"/>
    <w:rsid w:val="00107A50"/>
    <w:rsid w:val="0012381C"/>
    <w:rsid w:val="00123A9E"/>
    <w:rsid w:val="001657A6"/>
    <w:rsid w:val="001B0BDD"/>
    <w:rsid w:val="001D7F64"/>
    <w:rsid w:val="002055A3"/>
    <w:rsid w:val="00223B40"/>
    <w:rsid w:val="002260F6"/>
    <w:rsid w:val="002640B7"/>
    <w:rsid w:val="00265EDF"/>
    <w:rsid w:val="002834A8"/>
    <w:rsid w:val="002C1CF1"/>
    <w:rsid w:val="002C46B3"/>
    <w:rsid w:val="002D163D"/>
    <w:rsid w:val="002E5502"/>
    <w:rsid w:val="0030178E"/>
    <w:rsid w:val="00306F66"/>
    <w:rsid w:val="0033665A"/>
    <w:rsid w:val="003441AB"/>
    <w:rsid w:val="0035353D"/>
    <w:rsid w:val="0039178A"/>
    <w:rsid w:val="00393EF7"/>
    <w:rsid w:val="003B2150"/>
    <w:rsid w:val="003D3131"/>
    <w:rsid w:val="003E69B7"/>
    <w:rsid w:val="003F23F1"/>
    <w:rsid w:val="003F6555"/>
    <w:rsid w:val="0042272D"/>
    <w:rsid w:val="00426763"/>
    <w:rsid w:val="00470950"/>
    <w:rsid w:val="004723D6"/>
    <w:rsid w:val="00473760"/>
    <w:rsid w:val="00476D55"/>
    <w:rsid w:val="00481373"/>
    <w:rsid w:val="00483F9E"/>
    <w:rsid w:val="004900FA"/>
    <w:rsid w:val="0049052C"/>
    <w:rsid w:val="00495E44"/>
    <w:rsid w:val="004A62B3"/>
    <w:rsid w:val="004B36CF"/>
    <w:rsid w:val="004C7BE1"/>
    <w:rsid w:val="004E284E"/>
    <w:rsid w:val="004E3A06"/>
    <w:rsid w:val="004E3F77"/>
    <w:rsid w:val="004F5C09"/>
    <w:rsid w:val="00515C3C"/>
    <w:rsid w:val="00544EFF"/>
    <w:rsid w:val="00547730"/>
    <w:rsid w:val="00552AE2"/>
    <w:rsid w:val="00590954"/>
    <w:rsid w:val="005B1D5B"/>
    <w:rsid w:val="005B3858"/>
    <w:rsid w:val="005D4FE7"/>
    <w:rsid w:val="005F4F0B"/>
    <w:rsid w:val="00627B34"/>
    <w:rsid w:val="00637DC8"/>
    <w:rsid w:val="006558DB"/>
    <w:rsid w:val="00660B5F"/>
    <w:rsid w:val="006621EF"/>
    <w:rsid w:val="00690A9C"/>
    <w:rsid w:val="00696E3F"/>
    <w:rsid w:val="006A390C"/>
    <w:rsid w:val="006E546D"/>
    <w:rsid w:val="00715BC5"/>
    <w:rsid w:val="0072574A"/>
    <w:rsid w:val="00736328"/>
    <w:rsid w:val="00745A83"/>
    <w:rsid w:val="00765D71"/>
    <w:rsid w:val="007965C5"/>
    <w:rsid w:val="007A02F3"/>
    <w:rsid w:val="007A59F0"/>
    <w:rsid w:val="007B3410"/>
    <w:rsid w:val="007E1864"/>
    <w:rsid w:val="00804000"/>
    <w:rsid w:val="00837CD3"/>
    <w:rsid w:val="00841268"/>
    <w:rsid w:val="0085015A"/>
    <w:rsid w:val="00852786"/>
    <w:rsid w:val="00864B46"/>
    <w:rsid w:val="008855DE"/>
    <w:rsid w:val="00893C2C"/>
    <w:rsid w:val="008A771A"/>
    <w:rsid w:val="008B15D1"/>
    <w:rsid w:val="008C5450"/>
    <w:rsid w:val="008C5690"/>
    <w:rsid w:val="008D5A2D"/>
    <w:rsid w:val="008E6866"/>
    <w:rsid w:val="00901542"/>
    <w:rsid w:val="00906032"/>
    <w:rsid w:val="00923F60"/>
    <w:rsid w:val="00927496"/>
    <w:rsid w:val="00946D39"/>
    <w:rsid w:val="00951EAB"/>
    <w:rsid w:val="00963623"/>
    <w:rsid w:val="0099534C"/>
    <w:rsid w:val="009D27FA"/>
    <w:rsid w:val="009F1A33"/>
    <w:rsid w:val="00A27100"/>
    <w:rsid w:val="00A42E59"/>
    <w:rsid w:val="00A50043"/>
    <w:rsid w:val="00A70862"/>
    <w:rsid w:val="00A7323E"/>
    <w:rsid w:val="00A77841"/>
    <w:rsid w:val="00AB3DC0"/>
    <w:rsid w:val="00AC0A47"/>
    <w:rsid w:val="00AE2F6F"/>
    <w:rsid w:val="00AE469F"/>
    <w:rsid w:val="00B00CD6"/>
    <w:rsid w:val="00B1239B"/>
    <w:rsid w:val="00B20F67"/>
    <w:rsid w:val="00B312C0"/>
    <w:rsid w:val="00B466E3"/>
    <w:rsid w:val="00B7766C"/>
    <w:rsid w:val="00B82EC4"/>
    <w:rsid w:val="00BB04BE"/>
    <w:rsid w:val="00BD2336"/>
    <w:rsid w:val="00BE2D04"/>
    <w:rsid w:val="00C370FC"/>
    <w:rsid w:val="00C62301"/>
    <w:rsid w:val="00C81E30"/>
    <w:rsid w:val="00C829BD"/>
    <w:rsid w:val="00C90373"/>
    <w:rsid w:val="00CD0A63"/>
    <w:rsid w:val="00CE2F8B"/>
    <w:rsid w:val="00CE5751"/>
    <w:rsid w:val="00CF3F19"/>
    <w:rsid w:val="00D2353B"/>
    <w:rsid w:val="00D23EBD"/>
    <w:rsid w:val="00D33CEB"/>
    <w:rsid w:val="00D74FC8"/>
    <w:rsid w:val="00D859C4"/>
    <w:rsid w:val="00D94730"/>
    <w:rsid w:val="00DB1FE9"/>
    <w:rsid w:val="00DD06AE"/>
    <w:rsid w:val="00DD6170"/>
    <w:rsid w:val="00DD62EA"/>
    <w:rsid w:val="00DE78D9"/>
    <w:rsid w:val="00E11D61"/>
    <w:rsid w:val="00E23605"/>
    <w:rsid w:val="00E426A0"/>
    <w:rsid w:val="00E43753"/>
    <w:rsid w:val="00E46533"/>
    <w:rsid w:val="00E6159C"/>
    <w:rsid w:val="00E7259C"/>
    <w:rsid w:val="00E72ACF"/>
    <w:rsid w:val="00E7435D"/>
    <w:rsid w:val="00E76822"/>
    <w:rsid w:val="00E93B1C"/>
    <w:rsid w:val="00E94CF9"/>
    <w:rsid w:val="00EA5341"/>
    <w:rsid w:val="00EA553A"/>
    <w:rsid w:val="00EA58F0"/>
    <w:rsid w:val="00EC2094"/>
    <w:rsid w:val="00EF3BC8"/>
    <w:rsid w:val="00EF5808"/>
    <w:rsid w:val="00F03CC5"/>
    <w:rsid w:val="00F12CA9"/>
    <w:rsid w:val="00F17E95"/>
    <w:rsid w:val="00F27B57"/>
    <w:rsid w:val="00F57EE8"/>
    <w:rsid w:val="00F8258C"/>
    <w:rsid w:val="00F938BB"/>
    <w:rsid w:val="00F9729A"/>
    <w:rsid w:val="00FA68AB"/>
    <w:rsid w:val="00FC2A41"/>
    <w:rsid w:val="00FC38D0"/>
    <w:rsid w:val="00FD5834"/>
    <w:rsid w:val="00FF0DD3"/>
    <w:rsid w:val="00FF3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A63A1D"/>
  <w15:docId w15:val="{9FB875E9-D22C-4FC0-9631-00D1C787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EE8"/>
  </w:style>
  <w:style w:type="paragraph" w:styleId="Heading1">
    <w:name w:val="heading 1"/>
    <w:basedOn w:val="Normal"/>
    <w:link w:val="Heading1Char"/>
    <w:uiPriority w:val="9"/>
    <w:qFormat/>
    <w:rsid w:val="000C113E"/>
    <w:pPr>
      <w:widowControl w:val="0"/>
      <w:autoSpaceDE w:val="0"/>
      <w:autoSpaceDN w:val="0"/>
      <w:spacing w:after="0" w:line="240" w:lineRule="auto"/>
      <w:ind w:left="431" w:hanging="230"/>
      <w:outlineLvl w:val="0"/>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660B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60B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60B5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69F"/>
  </w:style>
  <w:style w:type="paragraph" w:styleId="Footer">
    <w:name w:val="footer"/>
    <w:basedOn w:val="Normal"/>
    <w:link w:val="FooterChar"/>
    <w:uiPriority w:val="99"/>
    <w:unhideWhenUsed/>
    <w:rsid w:val="00AE4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69F"/>
  </w:style>
  <w:style w:type="paragraph" w:styleId="BalloonText">
    <w:name w:val="Balloon Text"/>
    <w:basedOn w:val="Normal"/>
    <w:link w:val="BalloonTextChar"/>
    <w:uiPriority w:val="99"/>
    <w:semiHidden/>
    <w:unhideWhenUsed/>
    <w:rsid w:val="00AE4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9F"/>
    <w:rPr>
      <w:rFonts w:ascii="Tahoma" w:hAnsi="Tahoma" w:cs="Tahoma"/>
      <w:sz w:val="16"/>
      <w:szCs w:val="16"/>
    </w:rPr>
  </w:style>
  <w:style w:type="paragraph" w:styleId="ListParagraph">
    <w:name w:val="List Paragraph"/>
    <w:basedOn w:val="Normal"/>
    <w:uiPriority w:val="1"/>
    <w:qFormat/>
    <w:rsid w:val="00AE469F"/>
    <w:pPr>
      <w:ind w:left="720"/>
      <w:contextualSpacing/>
    </w:pPr>
  </w:style>
  <w:style w:type="character" w:styleId="Hyperlink">
    <w:name w:val="Hyperlink"/>
    <w:basedOn w:val="DefaultParagraphFont"/>
    <w:uiPriority w:val="99"/>
    <w:unhideWhenUsed/>
    <w:rsid w:val="00745A83"/>
    <w:rPr>
      <w:color w:val="0000FF" w:themeColor="hyperlink"/>
      <w:u w:val="single"/>
    </w:rPr>
  </w:style>
  <w:style w:type="paragraph" w:styleId="NoSpacing">
    <w:name w:val="No Spacing"/>
    <w:uiPriority w:val="1"/>
    <w:qFormat/>
    <w:rsid w:val="00C829BD"/>
    <w:pPr>
      <w:spacing w:after="0" w:line="240" w:lineRule="auto"/>
    </w:pPr>
  </w:style>
  <w:style w:type="table" w:styleId="TableGrid">
    <w:name w:val="Table Grid"/>
    <w:basedOn w:val="TableNormal"/>
    <w:uiPriority w:val="59"/>
    <w:rsid w:val="00C82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113E"/>
    <w:rPr>
      <w:rFonts w:ascii="Times New Roman" w:eastAsia="Times New Roman" w:hAnsi="Times New Roman" w:cs="Times New Roman"/>
      <w:sz w:val="20"/>
      <w:szCs w:val="20"/>
      <w:lang w:val="en-US"/>
    </w:rPr>
  </w:style>
  <w:style w:type="paragraph" w:styleId="BodyText">
    <w:name w:val="Body Text"/>
    <w:basedOn w:val="Normal"/>
    <w:link w:val="BodyTextChar"/>
    <w:uiPriority w:val="1"/>
    <w:qFormat/>
    <w:rsid w:val="000C113E"/>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0C113E"/>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9274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660B5F"/>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rsid w:val="00660B5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60B5F"/>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660B5F"/>
    <w:pPr>
      <w:widowControl w:val="0"/>
      <w:autoSpaceDE w:val="0"/>
      <w:autoSpaceDN w:val="0"/>
      <w:spacing w:after="0" w:line="240" w:lineRule="auto"/>
    </w:pPr>
    <w:rPr>
      <w:rFonts w:ascii="Calibri" w:eastAsia="Calibri" w:hAnsi="Calibri" w:cs="Calibri"/>
      <w:lang w:eastAsia="en-GB" w:bidi="en-GB"/>
    </w:rPr>
  </w:style>
  <w:style w:type="character" w:styleId="UnresolvedMention">
    <w:name w:val="Unresolved Mention"/>
    <w:basedOn w:val="DefaultParagraphFont"/>
    <w:uiPriority w:val="99"/>
    <w:semiHidden/>
    <w:unhideWhenUsed/>
    <w:rsid w:val="00995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44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construction-industry-scheme-cis-340" TargetMode="External"/><Relationship Id="rId13" Type="http://schemas.openxmlformats.org/officeDocument/2006/relationships/hyperlink" Target="mailto:info@eca.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eca.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DE7A0-65AD-47A9-AA3C-5012826E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Electrical Contractors' Association</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jamie.cant</dc:creator>
  <cp:lastModifiedBy>Cant, Jamie</cp:lastModifiedBy>
  <cp:revision>3</cp:revision>
  <cp:lastPrinted>2020-02-18T11:14:00Z</cp:lastPrinted>
  <dcterms:created xsi:type="dcterms:W3CDTF">2021-01-15T10:20:00Z</dcterms:created>
  <dcterms:modified xsi:type="dcterms:W3CDTF">2021-02-03T09:34:00Z</dcterms:modified>
</cp:coreProperties>
</file>